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f47c1f108b20413c" /><Relationship Type="http://schemas.openxmlformats.org/package/2006/relationships/metadata/core-properties" Target="package/services/metadata/core-properties/5072d801383d4ba7afbca65188fdde3f.psmdcp" Id="R7d12da62b2664471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P="194E4CE1" w:rsidRDefault="00000000" w14:paraId="00000004" wp14:textId="77777777">
      <w:pPr>
        <w:keepLines w:val="1"/>
        <w:widowControl w:val="0"/>
        <w:spacing w:line="240" w:lineRule="auto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208050B3" w:rsidP="194E4CE1" w:rsidRDefault="208050B3" w14:paraId="77B01C4C" w14:textId="3E6D7FA0">
      <w:pPr>
        <w:keepLines w:val="1"/>
        <w:widowControl w:val="0"/>
        <w:spacing w:line="240" w:lineRule="auto"/>
        <w:jc w:val="center"/>
      </w:pPr>
      <w:r w:rsidRPr="194E4CE1" w:rsidR="208050B3">
        <w:rPr>
          <w:rFonts w:ascii="Arial" w:hAnsi="Arial" w:eastAsia="Arial" w:cs="Arial"/>
          <w:b w:val="1"/>
          <w:bCs w:val="1"/>
          <w:sz w:val="24"/>
          <w:szCs w:val="24"/>
          <w:lang w:val="pt-BR"/>
        </w:rPr>
        <w:t>ETNOCENOLOGIA, EDUCAÇÃO E O SÉCULO XXI: NOVOS LÉXICOS, LOCAIS DE FALA E SUAS RELAÇÕES DECOLONIAIS</w:t>
      </w:r>
    </w:p>
    <w:p xmlns:wp14="http://schemas.microsoft.com/office/word/2010/wordml" w:rsidP="194E4CE1" w:rsidRDefault="00000000" w14:paraId="79B305E1" wp14:textId="641E978C">
      <w:pPr>
        <w:keepLines w:val="1"/>
        <w:widowControl w:val="0"/>
        <w:spacing w:line="240" w:lineRule="auto"/>
        <w:jc w:val="center"/>
      </w:pPr>
      <w:r w:rsidRPr="194E4CE1" w:rsidR="194E4CE1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</w:p>
    <w:p xmlns:wp14="http://schemas.microsoft.com/office/word/2010/wordml" w:rsidP="194E4CE1" w:rsidRDefault="00000000" w14:paraId="70355C58" wp14:textId="72FA5270">
      <w:pPr>
        <w:pStyle w:val="Normal"/>
        <w:keepLines w:val="1"/>
        <w:widowControl w:val="0"/>
        <w:spacing w:before="240" w:beforeAutospacing="off" w:after="240" w:afterAutospacing="off" w:line="360" w:lineRule="auto"/>
        <w:jc w:val="center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194E4CE1" w:rsidR="72180EA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Paulo Freire e a dimensão étnico-racial da educação popular: práticas pedagógicas, resistência e produção de saberes negros</w:t>
      </w:r>
    </w:p>
    <w:p xmlns:wp14="http://schemas.microsoft.com/office/word/2010/wordml" w:rsidP="194E4CE1" w:rsidRDefault="00000000" w14:paraId="00000007" wp14:textId="6C9680A5">
      <w:pPr>
        <w:keepLines w:val="1"/>
        <w:widowControl w:val="0"/>
        <w:spacing w:line="24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194E4CE1" w:rsidRDefault="00000000" w14:paraId="00000008" wp14:textId="77777777">
      <w:pPr>
        <w:keepLines w:val="1"/>
        <w:widowControl w:val="0"/>
        <w:spacing w:line="240" w:lineRule="auto"/>
        <w:jc w:val="right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194E4CE1" w:rsidRDefault="00000000" w14:paraId="00000009" wp14:textId="5418FA04">
      <w:pPr>
        <w:keepLines w:val="1"/>
        <w:widowControl w:val="0"/>
        <w:spacing w:line="240" w:lineRule="auto"/>
        <w:jc w:val="right"/>
        <w:rPr>
          <w:rFonts w:ascii="Arial" w:hAnsi="Arial" w:eastAsia="Arial" w:cs="Arial"/>
          <w:sz w:val="24"/>
          <w:szCs w:val="24"/>
          <w:rtl w:val="0"/>
          <w:lang w:val="pt-BR"/>
        </w:rPr>
      </w:pPr>
      <w:r w:rsidRPr="194E4CE1" w:rsidR="6A703199">
        <w:rPr>
          <w:rFonts w:ascii="Arial" w:hAnsi="Arial" w:eastAsia="Arial" w:cs="Arial"/>
          <w:sz w:val="24"/>
          <w:szCs w:val="24"/>
          <w:lang w:val="pt-BR"/>
        </w:rPr>
        <w:t>Leticia Oliveira de Souza</w:t>
      </w:r>
      <w:r w:rsidRPr="194E4CE1" w:rsidR="194E4CE1">
        <w:rPr>
          <w:rFonts w:ascii="Arial" w:hAnsi="Arial" w:eastAsia="Arial" w:cs="Arial"/>
          <w:sz w:val="24"/>
          <w:szCs w:val="24"/>
          <w:lang w:val="pt-BR"/>
        </w:rPr>
        <w:t xml:space="preserve">, </w:t>
      </w:r>
      <w:r w:rsidRPr="194E4CE1" w:rsidR="572FE5F6">
        <w:rPr>
          <w:rFonts w:ascii="Arial" w:hAnsi="Arial" w:eastAsia="Arial" w:cs="Arial"/>
          <w:sz w:val="24"/>
          <w:szCs w:val="24"/>
          <w:lang w:val="pt-BR"/>
        </w:rPr>
        <w:t>UFPE</w:t>
      </w:r>
      <w:r w:rsidRPr="194E4CE1" w:rsidR="194E4CE1">
        <w:rPr>
          <w:rFonts w:ascii="Arial" w:hAnsi="Arial" w:eastAsia="Arial" w:cs="Arial"/>
          <w:sz w:val="24"/>
          <w:szCs w:val="24"/>
          <w:lang w:val="pt-BR"/>
        </w:rPr>
        <w:t xml:space="preserve">, </w:t>
      </w:r>
      <w:r w:rsidRPr="194E4CE1" w:rsidR="1EE22555">
        <w:rPr>
          <w:rFonts w:ascii="Arial" w:hAnsi="Arial" w:eastAsia="Arial" w:cs="Arial"/>
          <w:sz w:val="24"/>
          <w:szCs w:val="24"/>
          <w:lang w:val="pt-BR"/>
        </w:rPr>
        <w:t>leticia</w:t>
      </w:r>
      <w:r w:rsidRPr="194E4CE1" w:rsidR="1F58723C">
        <w:rPr>
          <w:rFonts w:ascii="Arial" w:hAnsi="Arial" w:eastAsia="Arial" w:cs="Arial"/>
          <w:sz w:val="24"/>
          <w:szCs w:val="24"/>
          <w:lang w:val="pt-BR"/>
        </w:rPr>
        <w:t>.souza@ufpe</w:t>
      </w:r>
      <w:r w:rsidRPr="194E4CE1" w:rsidR="1F58723C">
        <w:rPr>
          <w:rFonts w:ascii="Arial" w:hAnsi="Arial" w:eastAsia="Arial" w:cs="Arial"/>
          <w:sz w:val="24"/>
          <w:szCs w:val="24"/>
          <w:lang w:val="pt-BR"/>
        </w:rPr>
        <w:t>.br</w:t>
      </w:r>
    </w:p>
    <w:p xmlns:wp14="http://schemas.microsoft.com/office/word/2010/wordml" w:rsidP="194E4CE1" w:rsidRDefault="00000000" w14:paraId="0000000D" wp14:textId="0A20773B">
      <w:pPr>
        <w:keepLines w:val="1"/>
        <w:widowControl w:val="0"/>
        <w:spacing w:line="240" w:lineRule="auto"/>
        <w:jc w:val="right"/>
        <w:rPr>
          <w:rFonts w:ascii="Arial" w:hAnsi="Arial" w:eastAsia="Arial" w:cs="Arial"/>
          <w:sz w:val="24"/>
          <w:szCs w:val="24"/>
          <w:rtl w:val="0"/>
          <w:lang w:val="pt-BR"/>
        </w:rPr>
      </w:pPr>
      <w:r w:rsidRPr="194E4CE1" w:rsidR="737A64B8">
        <w:rPr>
          <w:rFonts w:ascii="Arial" w:hAnsi="Arial" w:eastAsia="Arial" w:cs="Arial"/>
          <w:sz w:val="24"/>
          <w:szCs w:val="24"/>
          <w:lang w:val="pt-BR"/>
        </w:rPr>
        <w:t>Allene</w:t>
      </w:r>
      <w:r w:rsidRPr="194E4CE1" w:rsidR="737A64B8">
        <w:rPr>
          <w:rFonts w:ascii="Arial" w:hAnsi="Arial" w:eastAsia="Arial" w:cs="Arial"/>
          <w:sz w:val="24"/>
          <w:szCs w:val="24"/>
          <w:lang w:val="pt-BR"/>
        </w:rPr>
        <w:t xml:space="preserve"> Carvalho Lage</w:t>
      </w:r>
      <w:r w:rsidRPr="194E4CE1" w:rsidR="194E4CE1">
        <w:rPr>
          <w:rFonts w:ascii="Arial" w:hAnsi="Arial" w:eastAsia="Arial" w:cs="Arial"/>
          <w:sz w:val="24"/>
          <w:szCs w:val="24"/>
          <w:lang w:val="pt-BR"/>
        </w:rPr>
        <w:t xml:space="preserve">, </w:t>
      </w:r>
      <w:r w:rsidRPr="194E4CE1" w:rsidR="634403F7">
        <w:rPr>
          <w:rFonts w:ascii="Arial" w:hAnsi="Arial" w:eastAsia="Arial" w:cs="Arial"/>
          <w:sz w:val="24"/>
          <w:szCs w:val="24"/>
          <w:lang w:val="pt-BR"/>
        </w:rPr>
        <w:t>UFPE</w:t>
      </w:r>
      <w:r w:rsidRPr="194E4CE1" w:rsidR="194E4CE1">
        <w:rPr>
          <w:rFonts w:ascii="Arial" w:hAnsi="Arial" w:eastAsia="Arial" w:cs="Arial"/>
          <w:sz w:val="24"/>
          <w:szCs w:val="24"/>
          <w:lang w:val="pt-BR"/>
        </w:rPr>
        <w:t xml:space="preserve">, </w:t>
      </w:r>
      <w:r w:rsidRPr="194E4CE1" w:rsidR="3FB1C6AE">
        <w:rPr>
          <w:rFonts w:ascii="Arial" w:hAnsi="Arial" w:eastAsia="Arial" w:cs="Arial"/>
          <w:sz w:val="24"/>
          <w:szCs w:val="24"/>
          <w:lang w:val="pt-BR"/>
        </w:rPr>
        <w:t>Allene.carvalho@ufpe.br</w:t>
      </w:r>
    </w:p>
    <w:p xmlns:wp14="http://schemas.microsoft.com/office/word/2010/wordml" w:rsidP="194E4CE1" w:rsidRDefault="00000000" w14:paraId="0000000E" wp14:textId="77777777">
      <w:pPr>
        <w:keepLines w:val="1"/>
        <w:widowControl w:val="0"/>
        <w:spacing w:line="24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194E4CE1" w:rsidRDefault="00000000" w14:paraId="0000000F" wp14:textId="77777777">
      <w:pPr>
        <w:keepLines w:val="1"/>
        <w:widowControl w:val="0"/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</w:p>
    <w:p xmlns:wp14="http://schemas.microsoft.com/office/word/2010/wordml" w:rsidP="194E4CE1" w:rsidRDefault="00000000" w14:paraId="00000010" wp14:textId="77777777">
      <w:pPr>
        <w:keepLines w:val="1"/>
        <w:widowControl w:val="0"/>
        <w:spacing w:line="36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194E4CE1" w:rsidR="194E4CE1">
        <w:rPr>
          <w:rFonts w:ascii="Arial" w:hAnsi="Arial" w:eastAsia="Arial" w:cs="Arial"/>
          <w:b w:val="1"/>
          <w:bCs w:val="1"/>
          <w:sz w:val="24"/>
          <w:szCs w:val="24"/>
        </w:rPr>
        <w:t>RESUMO</w:t>
      </w:r>
    </w:p>
    <w:p w:rsidR="3A376424" w:rsidP="194E4CE1" w:rsidRDefault="3A376424" w14:paraId="3757DA1C" w14:textId="63D2BEE6">
      <w:pPr>
        <w:spacing w:before="0" w:beforeAutospacing="off" w:after="0" w:afterAutospacing="off" w:line="360" w:lineRule="auto"/>
        <w:ind w:firstLine="709"/>
        <w:jc w:val="both"/>
      </w:pPr>
      <w:r w:rsidRPr="194E4CE1" w:rsidR="3A376424">
        <w:rPr>
          <w:rFonts w:ascii="Arial" w:hAnsi="Arial" w:eastAsia="Arial" w:cs="Arial"/>
          <w:noProof w:val="0"/>
          <w:sz w:val="24"/>
          <w:szCs w:val="24"/>
          <w:lang w:val="pt-BR"/>
        </w:rPr>
        <w:t>O saber da prática reside na experiência acumulada pelos movimentos sociais que compõem o campo da educação popular em suas múltiplas dimensões. As lutas populares emergem da experiência cotidiana, das ações coletivas e das reivindicações por dignidade humana. Nesse sentido, a cultura popular encontra na tradição oral, na memória coletiva e na palavra compartilhada formas de produção e circulação dos conhecimentos, contrapondo-se ao que Freire (1993) denomina cultura de ênfase gráfica ou livresca.</w:t>
      </w:r>
      <w:r w:rsidRPr="194E4CE1" w:rsidR="23EABA7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94E4CE1" w:rsidR="3A37642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Essa compreensão adquire contornos significativos quando colocada em diálogo com as experiências históricas africanas e </w:t>
      </w:r>
      <w:r w:rsidRPr="194E4CE1" w:rsidR="3A376424">
        <w:rPr>
          <w:rFonts w:ascii="Arial" w:hAnsi="Arial" w:eastAsia="Arial" w:cs="Arial"/>
          <w:noProof w:val="0"/>
          <w:sz w:val="24"/>
          <w:szCs w:val="24"/>
          <w:lang w:val="pt-BR"/>
        </w:rPr>
        <w:t>afro-diaspóricas</w:t>
      </w:r>
      <w:r w:rsidRPr="194E4CE1" w:rsidR="3A376424">
        <w:rPr>
          <w:rFonts w:ascii="Arial" w:hAnsi="Arial" w:eastAsia="Arial" w:cs="Arial"/>
          <w:noProof w:val="0"/>
          <w:sz w:val="24"/>
          <w:szCs w:val="24"/>
          <w:lang w:val="pt-BR"/>
        </w:rPr>
        <w:t>. Em diferentes sociedades africanas, o conhecimento constituiu-se através da oralidade, da ancestralidade e da comunidade. A palavra transforma-se em arquivo vivo da memória, guardiã das histórias, dos ensinamentos e dos percursos coletivos. O saber circula entre gerações como construção comunitária permanentemente atualizada pela experiência.</w:t>
      </w:r>
    </w:p>
    <w:p w:rsidR="3A376424" w:rsidP="194E4CE1" w:rsidRDefault="3A376424" w14:paraId="6C2B6EEA" w14:textId="3F9056AF">
      <w:pPr>
        <w:spacing w:before="0" w:beforeAutospacing="off" w:after="0" w:afterAutospacing="off" w:line="360" w:lineRule="auto"/>
        <w:ind w:firstLine="709"/>
        <w:jc w:val="both"/>
      </w:pPr>
      <w:r w:rsidRPr="194E4CE1" w:rsidR="3A376424">
        <w:rPr>
          <w:rFonts w:ascii="Arial" w:hAnsi="Arial" w:eastAsia="Arial" w:cs="Arial"/>
          <w:noProof w:val="0"/>
          <w:sz w:val="24"/>
          <w:szCs w:val="24"/>
          <w:lang w:val="pt-BR"/>
        </w:rPr>
        <w:t>Tal perspectiva aproxima-se dos fundamentos da pedagogia freireana (Souza, 2024), especialmente pela valorização da experiência dos sujeitos, pela crítica à hierarquização dos saberes, pela compreensão do conhecimento como construção coletiva e pela centralidade do diálogo. O círculo de cultura ocupa posição fundamental nesse pensamento, pois rompe com a verticalidade da transmissão do conhecimento e inaugura um espaço em que escuta, fala e partilha tornam-se dimensões constitutivas do ato educativo.</w:t>
      </w:r>
    </w:p>
    <w:p w:rsidR="3A376424" w:rsidP="194E4CE1" w:rsidRDefault="3A376424" w14:paraId="011620C1" w14:textId="581FFE61">
      <w:pPr>
        <w:spacing w:before="0" w:beforeAutospacing="off" w:after="0" w:afterAutospacing="off" w:line="360" w:lineRule="auto"/>
        <w:ind w:firstLine="709"/>
        <w:jc w:val="both"/>
      </w:pPr>
      <w:r w:rsidRPr="194E4CE1" w:rsidR="3A376424">
        <w:rPr>
          <w:rFonts w:ascii="Arial" w:hAnsi="Arial" w:eastAsia="Arial" w:cs="Arial"/>
          <w:noProof w:val="0"/>
          <w:sz w:val="24"/>
          <w:szCs w:val="24"/>
          <w:lang w:val="pt-BR"/>
        </w:rPr>
        <w:t>A circularidade também ocupa lugar relevante em matrizes africanas, manifestando-se nas formas de transmissão dos saberes, na relação entre memória e tempo e no respeito à ancestralidade. O indivíduo não se constitui isoladamente, mas em profunda relação com a comunidade. Nesse sentido, a pedagogia popular freireana apresenta categorias que dialogam com experiências historicamente vividas por populações negras. Ao discutir humanização, conscientização e libertação, Freire possibilita compreender processos marcados pela colonialidade, pelo racismo e pela negação da humanidade de determinados povos.</w:t>
      </w:r>
    </w:p>
    <w:p w:rsidR="3A376424" w:rsidP="194E4CE1" w:rsidRDefault="3A376424" w14:paraId="72616753" w14:textId="4C4E7493">
      <w:pPr>
        <w:spacing w:before="0" w:beforeAutospacing="off" w:after="0" w:afterAutospacing="off" w:line="360" w:lineRule="auto"/>
        <w:ind w:firstLine="709"/>
        <w:jc w:val="both"/>
      </w:pPr>
      <w:r w:rsidRPr="194E4CE1" w:rsidR="3A376424">
        <w:rPr>
          <w:rFonts w:ascii="Arial" w:hAnsi="Arial" w:eastAsia="Arial" w:cs="Arial"/>
          <w:noProof w:val="0"/>
          <w:sz w:val="24"/>
          <w:szCs w:val="24"/>
          <w:lang w:val="pt-BR"/>
        </w:rPr>
        <w:t>A libertação, nessa perspectiva, não corresponde apenas à superação de limitações materiais, mas também à recuperação da palavra, da memória, da cultura e da capacidade de narrar o mundo a partir de si. Para populações negras atravessadas pela escravização, pelo colonialismo e pela desqualificação de seus saberes, a emancipação assume o significado de reconstrução da dignidade humana.</w:t>
      </w:r>
      <w:r w:rsidRPr="194E4CE1" w:rsidR="161B3DC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94E4CE1" w:rsidR="3A37642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As aproximações entre pedagogia popular </w:t>
      </w:r>
      <w:r w:rsidRPr="194E4CE1" w:rsidR="3A376424">
        <w:rPr>
          <w:rFonts w:ascii="Arial" w:hAnsi="Arial" w:eastAsia="Arial" w:cs="Arial"/>
          <w:noProof w:val="0"/>
          <w:sz w:val="24"/>
          <w:szCs w:val="24"/>
          <w:lang w:val="pt-BR"/>
        </w:rPr>
        <w:t>freireana</w:t>
      </w:r>
      <w:r w:rsidRPr="194E4CE1" w:rsidR="3A37642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experiências africanas permitem compreender a constituição daquilo que denominamos Pedagogia Popular Africana. Não se trata da criação de uma teoria apartada do legado </w:t>
      </w:r>
      <w:r w:rsidRPr="194E4CE1" w:rsidR="3A376424">
        <w:rPr>
          <w:rFonts w:ascii="Arial" w:hAnsi="Arial" w:eastAsia="Arial" w:cs="Arial"/>
          <w:noProof w:val="0"/>
          <w:sz w:val="24"/>
          <w:szCs w:val="24"/>
          <w:lang w:val="pt-BR"/>
        </w:rPr>
        <w:t>freireano</w:t>
      </w:r>
      <w:r w:rsidRPr="194E4CE1" w:rsidR="3A376424">
        <w:rPr>
          <w:rFonts w:ascii="Arial" w:hAnsi="Arial" w:eastAsia="Arial" w:cs="Arial"/>
          <w:noProof w:val="0"/>
          <w:sz w:val="24"/>
          <w:szCs w:val="24"/>
          <w:lang w:val="pt-BR"/>
        </w:rPr>
        <w:t>, nem da simples aplicação de categorias africanas à educação popular, mas do reconhecimento de que determinados princípios presentes na obra de Paulo Freire adquirem densidade particular quando observados a partir das experiências históricas, culturais e políticas dos povos africanos e de suas diásporas.</w:t>
      </w:r>
    </w:p>
    <w:p w:rsidR="3A376424" w:rsidP="194E4CE1" w:rsidRDefault="3A376424" w14:paraId="0FB72C87" w14:textId="35124191">
      <w:pPr>
        <w:spacing w:before="0" w:beforeAutospacing="off" w:after="0" w:afterAutospacing="off" w:line="360" w:lineRule="auto"/>
        <w:ind w:firstLine="709"/>
        <w:jc w:val="both"/>
      </w:pPr>
      <w:r w:rsidRPr="194E4CE1" w:rsidR="3A376424">
        <w:rPr>
          <w:rFonts w:ascii="Arial" w:hAnsi="Arial" w:eastAsia="Arial" w:cs="Arial"/>
          <w:noProof w:val="0"/>
          <w:sz w:val="24"/>
          <w:szCs w:val="24"/>
          <w:lang w:val="pt-BR"/>
        </w:rPr>
        <w:t>Ao refletir sobre a cosmovisão africana, Petit (2018, p. 206) destaca o conhecimento das ancestralidades, o vínculo com a natureza, a valorização da cultura e das experiências coletivamente construídas. Trata-se de uma forma de compreender o mundo que articula educação, memória, espiritualidade, comunidade e ação política. Nessa perspectiva, os sujeitos constituem-se nas relações estabelecidas com seus antepassados, com o território e com a coletividade.</w:t>
      </w:r>
      <w:r w:rsidRPr="194E4CE1" w:rsidR="1F21770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94E4CE1" w:rsidR="3A37642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É nesse horizonte que a Pedagogia Popular Africana se estrutura, compreendendo a educação como processo emancipatório voltado à formação de sujeitos capazes de interpretar criticamente a realidade e intervir sobre ela. </w:t>
      </w:r>
    </w:p>
    <w:p w:rsidR="3A376424" w:rsidP="194E4CE1" w:rsidRDefault="3A376424" w14:paraId="7375B824" w14:textId="05098AD6">
      <w:pPr>
        <w:spacing w:before="0" w:beforeAutospacing="off" w:after="0" w:afterAutospacing="off" w:line="360" w:lineRule="auto"/>
        <w:ind w:firstLine="709"/>
        <w:jc w:val="both"/>
      </w:pPr>
      <w:r w:rsidRPr="194E4CE1" w:rsidR="3A376424">
        <w:rPr>
          <w:rFonts w:ascii="Arial" w:hAnsi="Arial" w:eastAsia="Arial" w:cs="Arial"/>
          <w:noProof w:val="0"/>
          <w:sz w:val="24"/>
          <w:szCs w:val="24"/>
          <w:lang w:val="pt-BR"/>
        </w:rPr>
        <w:t>A conscientização não representa apenas um instrumento metodológico, mas um movimento permanente de leitura do mundo que possibilita reconhecer as condições históricas da opressão e construir caminhos para sua superação. Como observa Freire (2011), a conscientização realiza-se na práxis, na unidade entre reflexão e ação transformadora.</w:t>
      </w:r>
      <w:r w:rsidRPr="194E4CE1" w:rsidR="3970014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94E4CE1" w:rsidR="3A376424">
        <w:rPr>
          <w:rFonts w:ascii="Arial" w:hAnsi="Arial" w:eastAsia="Arial" w:cs="Arial"/>
          <w:noProof w:val="0"/>
          <w:sz w:val="24"/>
          <w:szCs w:val="24"/>
          <w:lang w:val="pt-BR"/>
        </w:rPr>
        <w:t>Outro aspecto fundamental refere-se à produção dos saberes. A Pedagogia Popular Africana reconhece que o conhecimento não está restrito aos espaços institucionalizados de ensino, mas também se constitui nas experiências cotidianas, nas práticas culturais e nas memórias coletivas. O educador, nessa perspectiva, participa de um processo compartilhado de construção do conhecimento, valorizando a curiosidade, a criticidade e a capacidade criadora dos sujeitos.</w:t>
      </w:r>
      <w:r w:rsidRPr="194E4CE1" w:rsidR="6ECA39B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94E4CE1" w:rsidR="3A376424">
        <w:rPr>
          <w:rFonts w:ascii="Arial" w:hAnsi="Arial" w:eastAsia="Arial" w:cs="Arial"/>
          <w:noProof w:val="0"/>
          <w:sz w:val="24"/>
          <w:szCs w:val="24"/>
          <w:lang w:val="pt-BR"/>
        </w:rPr>
        <w:t>A centralidade das experiências vividas conduz ainda ao reconhecimento do corpo como território de saber, marcado por histórias, identidades e percursos políticos. Da mesma forma, essa formulação exige uma leitura crítica dos processos históricos que produziram a subalternização das populações negras.</w:t>
      </w:r>
    </w:p>
    <w:p w:rsidR="3A376424" w:rsidP="194E4CE1" w:rsidRDefault="3A376424" w14:paraId="0110252E" w14:textId="60B10629">
      <w:pPr>
        <w:spacing w:before="0" w:beforeAutospacing="off" w:after="0" w:afterAutospacing="off" w:line="360" w:lineRule="auto"/>
        <w:ind w:firstLine="709"/>
        <w:jc w:val="both"/>
      </w:pPr>
      <w:r w:rsidRPr="194E4CE1" w:rsidR="3A37642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Como observa Souza (2024), em diálogo com Petit (2018), compreender o lugar social atribuído à população negra constitui condição indispensável para enfrentar mecanismos de exclusão e estigmatização historicamente construídos.</w:t>
      </w:r>
      <w:r w:rsidRPr="194E4CE1" w:rsidR="676D7FE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94E4CE1" w:rsidR="3A37642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Assim, a Pedagogia Popular Africana pode ser compreendida como uma formulação teórico-política que articula educação libertadora, consciência crítica, ancestralidade, comunidade e luta anticolonial. Seu objetivo consiste em evidenciar a centralidade das experiências africanas e </w:t>
      </w:r>
      <w:r w:rsidRPr="194E4CE1" w:rsidR="3A376424">
        <w:rPr>
          <w:rFonts w:ascii="Arial" w:hAnsi="Arial" w:eastAsia="Arial" w:cs="Arial"/>
          <w:noProof w:val="0"/>
          <w:sz w:val="24"/>
          <w:szCs w:val="24"/>
          <w:lang w:val="pt-BR"/>
        </w:rPr>
        <w:t>afro-diaspóricas</w:t>
      </w:r>
      <w:r w:rsidRPr="194E4CE1" w:rsidR="3A37642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na construção de projetos educativos comprometidos com a transformação social e com a produção de outros modos de existir e conhecer o mundo.</w:t>
      </w:r>
    </w:p>
    <w:p w:rsidR="68162D3E" w:rsidP="194E4CE1" w:rsidRDefault="68162D3E" w14:paraId="62822FB3" w14:textId="0B7FF851">
      <w:pPr>
        <w:spacing w:before="0" w:beforeAutospacing="off" w:after="0" w:afterAutospacing="off" w:line="360" w:lineRule="auto"/>
        <w:ind w:firstLine="0"/>
        <w:jc w:val="both"/>
      </w:pPr>
      <w:r w:rsidRPr="194E4CE1" w:rsidR="68162D3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PALAVRAS-CHAVE: </w:t>
      </w:r>
      <w:r w:rsidRPr="194E4CE1" w:rsidR="68162D3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Paulo Freire; Negro; Prática Pedagógica; </w:t>
      </w:r>
      <w:r w:rsidRPr="194E4CE1" w:rsidR="43807419">
        <w:rPr>
          <w:rFonts w:ascii="Arial" w:hAnsi="Arial" w:eastAsia="Arial" w:cs="Arial"/>
          <w:noProof w:val="0"/>
          <w:sz w:val="24"/>
          <w:szCs w:val="24"/>
          <w:lang w:val="pt-BR"/>
        </w:rPr>
        <w:t>Libertação</w:t>
      </w:r>
    </w:p>
    <w:p w:rsidR="3A376424" w:rsidP="194E4CE1" w:rsidRDefault="3A376424" w14:paraId="002FE4FB" w14:textId="6B186BEA">
      <w:pPr>
        <w:spacing w:before="240" w:beforeAutospacing="off" w:after="240" w:afterAutospacing="off" w:line="360" w:lineRule="auto"/>
        <w:jc w:val="both"/>
      </w:pPr>
      <w:r w:rsidRPr="194E4CE1" w:rsidR="3A37642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REFERÊNCIAS </w:t>
      </w:r>
    </w:p>
    <w:p w:rsidR="025241F8" w:rsidP="194E4CE1" w:rsidRDefault="025241F8" w14:paraId="2F740A42" w14:textId="78B29297">
      <w:pPr>
        <w:spacing w:before="0" w:beforeAutospacing="off" w:after="120" w:afterAutospacing="off" w:line="360" w:lineRule="auto"/>
        <w:ind w:left="709" w:right="0" w:hanging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94E4CE1" w:rsidR="025241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FREIRE, Paulo. </w:t>
      </w:r>
      <w:r w:rsidRPr="194E4CE1" w:rsidR="025241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Educação como prática da liberdade.</w:t>
      </w:r>
      <w:r w:rsidRPr="194E4CE1" w:rsidR="025241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1967.</w:t>
      </w:r>
    </w:p>
    <w:p w:rsidR="025241F8" w:rsidP="194E4CE1" w:rsidRDefault="025241F8" w14:paraId="45655C3C" w14:textId="410ED111">
      <w:pPr>
        <w:spacing w:before="0" w:beforeAutospacing="off" w:after="120" w:afterAutospacing="off" w:line="360" w:lineRule="auto"/>
        <w:ind w:left="709" w:right="0" w:hanging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94E4CE1" w:rsidR="025241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FREIRE, Paulo.</w:t>
      </w:r>
      <w:r w:rsidRPr="194E4CE1" w:rsidR="025241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Pedagogia do oprimido</w:t>
      </w:r>
      <w:r w:rsidRPr="194E4CE1" w:rsidR="025241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1968.</w:t>
      </w:r>
    </w:p>
    <w:p w:rsidR="025241F8" w:rsidP="194E4CE1" w:rsidRDefault="025241F8" w14:paraId="1DB19D02" w14:textId="38E05D5B">
      <w:pPr>
        <w:spacing w:before="0" w:beforeAutospacing="off" w:after="120" w:afterAutospacing="off" w:line="360" w:lineRule="auto"/>
        <w:ind w:left="709" w:right="0" w:hanging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94E4CE1" w:rsidR="025241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FREIRE, Paulo. </w:t>
      </w:r>
      <w:r w:rsidRPr="194E4CE1" w:rsidR="025241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Ação cultural para a liberdade. </w:t>
      </w:r>
      <w:r w:rsidRPr="194E4CE1" w:rsidR="025241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1976.</w:t>
      </w:r>
    </w:p>
    <w:p w:rsidR="025241F8" w:rsidP="194E4CE1" w:rsidRDefault="025241F8" w14:paraId="3DC46590" w14:textId="6E618512">
      <w:pPr>
        <w:spacing w:before="0" w:beforeAutospacing="off" w:after="120" w:afterAutospacing="off" w:line="360" w:lineRule="auto"/>
        <w:ind w:left="709" w:right="0" w:hanging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94E4CE1" w:rsidR="025241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FREIRE, Paulo.</w:t>
      </w:r>
      <w:r w:rsidRPr="194E4CE1" w:rsidR="025241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94E4CE1" w:rsidR="025241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Conscientização</w:t>
      </w:r>
      <w:r w:rsidRPr="194E4CE1" w:rsidR="025241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194E4CE1" w:rsidR="025241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1979.</w:t>
      </w:r>
    </w:p>
    <w:p w:rsidR="3A376424" w:rsidP="194E4CE1" w:rsidRDefault="3A376424" w14:paraId="04E33097" w14:textId="4D3C5EF0">
      <w:pPr>
        <w:spacing w:before="240" w:beforeAutospacing="off" w:after="240" w:afterAutospacing="off" w:line="360" w:lineRule="auto"/>
        <w:jc w:val="both"/>
      </w:pPr>
      <w:r w:rsidRPr="194E4CE1" w:rsidR="3A37642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PETIT, Sandra. </w:t>
      </w:r>
      <w:r w:rsidRPr="194E4CE1" w:rsidR="3EE578AF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194E4CE1" w:rsidR="3EE578AF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pt-BR"/>
        </w:rPr>
        <w:t>Pretagogia</w:t>
      </w:r>
      <w:r w:rsidRPr="194E4CE1" w:rsidR="3EE578AF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pt-BR"/>
        </w:rPr>
        <w:t>.</w:t>
      </w:r>
      <w:r w:rsidRPr="194E4CE1" w:rsidR="3EE578A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Eduece. </w:t>
      </w:r>
      <w:r w:rsidRPr="194E4CE1" w:rsidR="3A376424">
        <w:rPr>
          <w:rFonts w:ascii="Arial" w:hAnsi="Arial" w:eastAsia="Arial" w:cs="Arial"/>
          <w:noProof w:val="0"/>
          <w:sz w:val="24"/>
          <w:szCs w:val="24"/>
          <w:lang w:val="pt-BR"/>
        </w:rPr>
        <w:t>2018.</w:t>
      </w:r>
    </w:p>
    <w:p w:rsidR="3A376424" w:rsidP="194E4CE1" w:rsidRDefault="3A376424" w14:paraId="5114FFEF" w14:textId="10E765FF">
      <w:pPr>
        <w:spacing w:before="240" w:beforeAutospacing="off" w:after="240" w:afterAutospacing="off" w:line="360" w:lineRule="auto"/>
        <w:jc w:val="both"/>
      </w:pPr>
      <w:r w:rsidRPr="194E4CE1" w:rsidR="3A37642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SOUZA, Leticia Oliveira de. </w:t>
      </w:r>
      <w:r w:rsidRPr="194E4CE1" w:rsidR="3A376424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O</w:t>
      </w:r>
      <w:r w:rsidRPr="194E4CE1" w:rsidR="3A376424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pt-BR"/>
        </w:rPr>
        <w:t xml:space="preserve"> legado de Paulo Freire na Guiné-Bissau: </w:t>
      </w:r>
      <w:r w:rsidRPr="194E4CE1" w:rsidR="3A376424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respostas às cartas pedagógicas</w:t>
      </w:r>
      <w:r w:rsidRPr="194E4CE1" w:rsidR="3A376424">
        <w:rPr>
          <w:rFonts w:ascii="Arial" w:hAnsi="Arial" w:eastAsia="Arial" w:cs="Arial"/>
          <w:noProof w:val="0"/>
          <w:sz w:val="24"/>
          <w:szCs w:val="24"/>
          <w:lang w:val="pt-BR"/>
        </w:rPr>
        <w:t>. 2024. Dissertação – Universidade Federal de Pernambuco, Recife, 2024.</w:t>
      </w:r>
      <w:r w:rsidRPr="194E4CE1" w:rsidR="3A37642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94E4CE1" w:rsidP="194E4CE1" w:rsidRDefault="194E4CE1" w14:paraId="446C5A55" w14:textId="6C24AD66">
      <w:pPr>
        <w:spacing w:before="0" w:beforeAutospacing="off" w:after="0" w:afterAutospacing="off" w:line="360" w:lineRule="auto"/>
        <w:ind w:firstLine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9" w:h="16834" w:orient="portrait"/>
      <w:pgMar w:top="1134" w:right="1134" w:bottom="1134" w:left="1134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34" wp14:textId="77777777">
    <w:pPr>
      <w:jc w:val="center"/>
      <w:rPr/>
    </w:pPr>
    <w:r>
      <w:rPr/>
      <w:fldChar w:fldCharType="begin"/>
    </w:r>
    <w:r>
      <w:rPr/>
      <w:instrText xml:space="preserve">PAGE</w:instrText>
    </w:r>
    <w:r>
      <w:rPr/>
      <w:fldChar w:fldCharType="separate"/>
    </w:r>
    <w:r>
      <w:rPr/>
      <w:fldChar w:fldCharType="end"/>
    </w:r>
    <w:r>
      <w:rPr>
        <w:rtl w:val="0"/>
      </w:rPr>
    </w:r>
  </w:p>
</w:ftr>
</file>

<file path=word/footer2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36" wp14:textId="77777777">
    <w:pPr>
      <w:rPr/>
    </w:pP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30" wp14:textId="77777777">
    <w:pPr>
      <w:jc w:val="right"/>
      <w:rPr/>
    </w:pPr>
    <w:r>
      <w:rPr>
        <w:rtl w:val="0"/>
      </w:rPr>
    </w:r>
    <w:r>
      <w:drawing>
        <wp:anchor xmlns:wp14="http://schemas.microsoft.com/office/word/2010/wordprocessingDrawing" distT="114300" distB="114300" distL="114300" distR="114300" simplePos="0" relativeHeight="0" behindDoc="1" locked="0" layoutInCell="1" hidden="0" allowOverlap="1" wp14:anchorId="11B51BD1" wp14:editId="7777777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>
      <w:drawing>
        <wp:anchor xmlns:wp14="http://schemas.microsoft.com/office/word/2010/wordprocessingDrawing" distT="114300" distB="114300" distL="114300" distR="114300" simplePos="0" relativeHeight="0" behindDoc="1" locked="0" layoutInCell="1" hidden="0" allowOverlap="1" wp14:anchorId="0DAAA1BB" wp14:editId="7777777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l="0" t="235" r="0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xmlns:wp14="http://schemas.microsoft.com/office/word/2010/wordml" w:rsidRDefault="00000000" w14:paraId="00000031" wp14:textId="77777777">
    <w:pPr>
      <w:jc w:val="right"/>
      <w:rPr/>
    </w:pPr>
    <w:r>
      <w:rPr>
        <w:rtl w:val="0"/>
      </w:rPr>
    </w:r>
  </w:p>
  <w:p xmlns:wp14="http://schemas.microsoft.com/office/word/2010/wordml" w:rsidRDefault="00000000" w14:paraId="00000032" wp14:textId="77777777">
    <w:pPr>
      <w:jc w:val="right"/>
      <w:rPr/>
    </w:pPr>
    <w:r>
      <w:rPr>
        <w:rtl w:val="0"/>
      </w:rPr>
    </w:r>
  </w:p>
  <w:p xmlns:wp14="http://schemas.microsoft.com/office/word/2010/wordml" w:rsidRDefault="00000000" w14:paraId="00000033" wp14:textId="77777777">
    <w:pPr>
      <w:jc w:val="left"/>
      <w:rPr/>
    </w:pPr>
    <w:r>
      <w:rPr/>
      <w:drawing>
        <wp:anchor xmlns:wp14="http://schemas.microsoft.com/office/word/2010/wordprocessingDrawing" distT="114300" distB="114300" distL="114300" distR="114300" simplePos="0" relativeHeight="0" behindDoc="1" locked="0" layoutInCell="1" hidden="0" allowOverlap="1" wp14:anchorId="5027C4DB" wp14:editId="7777777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>
      <w:rPr>
        <w:rtl w:val="0"/>
      </w:rPr>
    </w:r>
  </w:p>
</w:hdr>
</file>

<file path=word/header2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35" wp14:textId="77777777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1">
    <w:nsid w:val="1be717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CADE208"/>
  <w15:docId w15:val="{A9BBBDE9-355B-48A8-B26F-1E5A72B2886D}"/>
  <w:rsids>
    <w:rsidRoot w:val="00000000"/>
    <w:rsid w:val="00000000"/>
    <w:rsid w:val="025241F8"/>
    <w:rsid w:val="02761951"/>
    <w:rsid w:val="02761951"/>
    <w:rsid w:val="028FB09B"/>
    <w:rsid w:val="0631F22F"/>
    <w:rsid w:val="085FA1B1"/>
    <w:rsid w:val="08B71FE5"/>
    <w:rsid w:val="0ED22B8B"/>
    <w:rsid w:val="14336AA6"/>
    <w:rsid w:val="14B8B21E"/>
    <w:rsid w:val="14B8B21E"/>
    <w:rsid w:val="161B3DC4"/>
    <w:rsid w:val="1838B0C5"/>
    <w:rsid w:val="18883758"/>
    <w:rsid w:val="18883758"/>
    <w:rsid w:val="194E4CE1"/>
    <w:rsid w:val="1A860FF0"/>
    <w:rsid w:val="1A860FF0"/>
    <w:rsid w:val="1EE22555"/>
    <w:rsid w:val="1F21770C"/>
    <w:rsid w:val="1F58723C"/>
    <w:rsid w:val="20246139"/>
    <w:rsid w:val="208050B3"/>
    <w:rsid w:val="2117CB0C"/>
    <w:rsid w:val="21314932"/>
    <w:rsid w:val="2386EFB5"/>
    <w:rsid w:val="23EABA7C"/>
    <w:rsid w:val="24A474EC"/>
    <w:rsid w:val="290AA7BD"/>
    <w:rsid w:val="2AABF33A"/>
    <w:rsid w:val="2AABF33A"/>
    <w:rsid w:val="2E83B073"/>
    <w:rsid w:val="2E83B073"/>
    <w:rsid w:val="356A9E33"/>
    <w:rsid w:val="360915C5"/>
    <w:rsid w:val="376C7DFE"/>
    <w:rsid w:val="376C7DFE"/>
    <w:rsid w:val="3909D6DB"/>
    <w:rsid w:val="39700147"/>
    <w:rsid w:val="399DB738"/>
    <w:rsid w:val="399DB738"/>
    <w:rsid w:val="3A376424"/>
    <w:rsid w:val="3AD1D88D"/>
    <w:rsid w:val="3C22B115"/>
    <w:rsid w:val="3E3DE469"/>
    <w:rsid w:val="3EE578AF"/>
    <w:rsid w:val="3FB1C6AE"/>
    <w:rsid w:val="43807419"/>
    <w:rsid w:val="4792A05D"/>
    <w:rsid w:val="4C508032"/>
    <w:rsid w:val="4CEBB9BB"/>
    <w:rsid w:val="502DFFC3"/>
    <w:rsid w:val="54D834C7"/>
    <w:rsid w:val="572FE5F6"/>
    <w:rsid w:val="5797CB2C"/>
    <w:rsid w:val="5837AEB9"/>
    <w:rsid w:val="5B243F99"/>
    <w:rsid w:val="5C9DD6C2"/>
    <w:rsid w:val="5C9DD6C2"/>
    <w:rsid w:val="5CD8A927"/>
    <w:rsid w:val="5D2AB10F"/>
    <w:rsid w:val="5E1EA776"/>
    <w:rsid w:val="5E1EA776"/>
    <w:rsid w:val="5FCA4C0A"/>
    <w:rsid w:val="602854DC"/>
    <w:rsid w:val="602854DC"/>
    <w:rsid w:val="6294A79D"/>
    <w:rsid w:val="62A69637"/>
    <w:rsid w:val="634403F7"/>
    <w:rsid w:val="670A539B"/>
    <w:rsid w:val="670C422C"/>
    <w:rsid w:val="676D7FE9"/>
    <w:rsid w:val="68162D3E"/>
    <w:rsid w:val="684FBB4E"/>
    <w:rsid w:val="6A703199"/>
    <w:rsid w:val="6A88C130"/>
    <w:rsid w:val="6B16EC2C"/>
    <w:rsid w:val="6ECA39BB"/>
    <w:rsid w:val="72180EA3"/>
    <w:rsid w:val="737A64B8"/>
    <w:rsid w:val="7424C42D"/>
    <w:rsid w:val="7424C42D"/>
    <w:rsid w:val="7BEB8EEB"/>
    <w:rsid w:val="7EFBFC54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194E4CE1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footer" Target="footer2.xml" Id="rId9" /><Relationship Type="http://schemas.openxmlformats.org/officeDocument/2006/relationships/styles" Target="styles.xml" Id="rId5" /><Relationship Type="http://schemas.openxmlformats.org/officeDocument/2006/relationships/header" Target="header1.xml" Id="rId6" /><Relationship Type="http://schemas.openxmlformats.org/officeDocument/2006/relationships/header" Target="header2.xml" Id="rId7" /><Relationship Type="http://schemas.openxmlformats.org/officeDocument/2006/relationships/footer" Target="footer1.xml" Id="rId8" 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