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1"/>
        <w:widowControl w:val="0"/>
        <w:spacing w:line="240" w:lineRule="auto"/>
        <w:jc w:val="center"/>
        <w:rPr>
          <w:sz w:val="24"/>
          <w:szCs w:val="24"/>
        </w:rPr>
      </w:pPr>
      <w:r w:rsidDel="00000000" w:rsidR="00000000" w:rsidRPr="00000000">
        <w:rPr>
          <w:b w:val="1"/>
          <w:bCs w:val="1"/>
          <w:sz w:val="24"/>
          <w:szCs w:val="24"/>
          <w:rtl w:val="0"/>
        </w:rPr>
        <w:t xml:space="preserve">CONVERSATÓRIO 5 — DECOLONIZAR E INTERCULTURALIZAR AS UNIVERSIDADES: AÇÕES AFIRMATIVAS, JUSTIÇA EPISTÊMICA E OUTROS MODOS DE CONHECER</w:t>
      </w:r>
      <w:r w:rsidDel="00000000" w:rsidR="00000000" w:rsidRPr="00000000">
        <w:rPr>
          <w:rtl w:val="0"/>
        </w:rPr>
      </w:r>
    </w:p>
    <w:p w:rsidR="00000000" w:rsidDel="00000000" w:rsidP="00000000" w:rsidRDefault="00000000" w:rsidRPr="00000000" w14:paraId="00000002">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03">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04">
      <w:pPr>
        <w:keepLines w:val="1"/>
        <w:widowControl w:val="0"/>
        <w:spacing w:line="240" w:lineRule="auto"/>
        <w:jc w:val="center"/>
        <w:rPr>
          <w:b w:val="1"/>
          <w:bCs w:val="1"/>
          <w:sz w:val="24"/>
          <w:szCs w:val="24"/>
        </w:rPr>
      </w:pPr>
      <w:r w:rsidDel="00000000" w:rsidR="00000000" w:rsidRPr="00000000">
        <w:rPr>
          <w:b w:val="1"/>
          <w:bCs w:val="1"/>
          <w:sz w:val="24"/>
          <w:szCs w:val="24"/>
          <w:rtl w:val="0"/>
        </w:rPr>
        <w:t xml:space="preserve"> Departamento de Extravios Sistêmicos: necropolítica burocrática, transubstanciação afetiva e o objeto de aprendizagem poético como dispositivo de permanência negra na universidade</w:t>
      </w:r>
    </w:p>
    <w:p w:rsidR="00000000" w:rsidDel="00000000" w:rsidP="00000000" w:rsidRDefault="00000000" w:rsidRPr="00000000" w14:paraId="00000005">
      <w:pPr>
        <w:keepLines w:val="1"/>
        <w:widowControl w:val="0"/>
        <w:spacing w:line="240" w:lineRule="auto"/>
        <w:rPr>
          <w:sz w:val="24"/>
          <w:szCs w:val="24"/>
        </w:rPr>
      </w:pPr>
      <w:r w:rsidDel="00000000" w:rsidR="00000000" w:rsidRPr="00000000">
        <w:rPr>
          <w:rtl w:val="0"/>
        </w:rPr>
      </w:r>
    </w:p>
    <w:p w:rsidR="00000000" w:rsidDel="00000000" w:rsidP="00000000" w:rsidRDefault="00000000" w:rsidRPr="00000000" w14:paraId="00000006">
      <w:pPr>
        <w:keepLines w:val="1"/>
        <w:widowControl w:val="0"/>
        <w:spacing w:line="240" w:lineRule="auto"/>
        <w:jc w:val="right"/>
        <w:rPr>
          <w:sz w:val="24"/>
          <w:szCs w:val="24"/>
        </w:rPr>
      </w:pPr>
      <w:r w:rsidDel="00000000" w:rsidR="00000000" w:rsidRPr="00000000">
        <w:rPr>
          <w:rtl w:val="0"/>
        </w:rPr>
      </w:r>
    </w:p>
    <w:p w:rsidR="00000000" w:rsidDel="00000000" w:rsidP="00000000" w:rsidRDefault="00000000" w:rsidRPr="00000000" w14:paraId="00000007">
      <w:pPr>
        <w:keepLines w:val="1"/>
        <w:widowControl w:val="0"/>
        <w:spacing w:line="240" w:lineRule="auto"/>
        <w:rPr>
          <w:sz w:val="24"/>
          <w:szCs w:val="24"/>
        </w:rPr>
      </w:pPr>
      <w:r w:rsidDel="00000000" w:rsidR="00000000" w:rsidRPr="00000000">
        <w:rPr>
          <w:rtl w:val="0"/>
        </w:rPr>
      </w:r>
    </w:p>
    <w:p w:rsidR="00000000" w:rsidDel="00000000" w:rsidP="00000000" w:rsidRDefault="00000000" w:rsidRPr="00000000" w14:paraId="00000008">
      <w:pPr>
        <w:keepLines w:val="1"/>
        <w:widowControl w:val="0"/>
        <w:spacing w:line="240" w:lineRule="auto"/>
        <w:rPr>
          <w:sz w:val="24"/>
          <w:szCs w:val="24"/>
        </w:rPr>
      </w:pPr>
      <w:r w:rsidDel="00000000" w:rsidR="00000000" w:rsidRPr="00000000">
        <w:rPr>
          <w:rtl w:val="0"/>
        </w:rPr>
      </w:r>
    </w:p>
    <w:p w:rsidR="00000000" w:rsidDel="00000000" w:rsidP="00000000" w:rsidRDefault="00000000" w:rsidRPr="00000000" w14:paraId="00000009">
      <w:pPr>
        <w:keepLines w:val="1"/>
        <w:widowControl w:val="0"/>
        <w:spacing w:line="360" w:lineRule="auto"/>
        <w:rPr>
          <w:b w:val="1"/>
          <w:bCs w:val="1"/>
          <w:sz w:val="24"/>
          <w:szCs w:val="24"/>
        </w:rPr>
      </w:pPr>
      <w:r w:rsidDel="00000000" w:rsidR="00000000" w:rsidRPr="00000000">
        <w:rPr>
          <w:rtl w:val="0"/>
        </w:rPr>
      </w:r>
    </w:p>
    <w:p w:rsidR="00000000" w:rsidDel="00000000" w:rsidP="00000000" w:rsidRDefault="00000000" w:rsidRPr="00000000" w14:paraId="0000000A">
      <w:pPr>
        <w:keepLines w:val="1"/>
        <w:widowControl w:val="0"/>
        <w:spacing w:line="360" w:lineRule="auto"/>
        <w:rPr>
          <w:b w:val="1"/>
          <w:bCs w:val="1"/>
          <w:sz w:val="24"/>
          <w:szCs w:val="24"/>
        </w:rPr>
      </w:pPr>
      <w:r w:rsidDel="00000000" w:rsidR="00000000" w:rsidRPr="00000000">
        <w:rPr>
          <w:b w:val="1"/>
          <w:bCs w:val="1"/>
          <w:sz w:val="24"/>
          <w:szCs w:val="24"/>
          <w:rtl w:val="0"/>
        </w:rPr>
        <w:t xml:space="preserve">RESUMO</w:t>
      </w:r>
    </w:p>
    <w:p w:rsidR="00000000" w:rsidDel="00000000" w:rsidP="00000000" w:rsidRDefault="00000000" w:rsidRPr="00000000" w14:paraId="0000000B">
      <w:pPr>
        <w:keepLines w:val="1"/>
        <w:widowControl w:val="0"/>
        <w:spacing w:line="360" w:lineRule="auto"/>
        <w:rPr>
          <w:b w:val="1"/>
          <w:bCs w:val="1"/>
          <w:sz w:val="24"/>
          <w:szCs w:val="24"/>
        </w:rPr>
      </w:pPr>
      <w:r w:rsidDel="00000000" w:rsidR="00000000" w:rsidRPr="00000000">
        <w:rPr>
          <w:rtl w:val="0"/>
        </w:rPr>
      </w:r>
    </w:p>
    <w:p w:rsidR="00000000" w:rsidDel="00000000" w:rsidP="00000000" w:rsidRDefault="00000000" w:rsidRPr="00000000" w14:paraId="0000000C">
      <w:pPr>
        <w:spacing w:line="360" w:lineRule="auto"/>
        <w:jc w:val="both"/>
        <w:rPr>
          <w:sz w:val="24"/>
          <w:szCs w:val="24"/>
        </w:rPr>
      </w:pPr>
      <w:r w:rsidDel="00000000" w:rsidR="00000000" w:rsidRPr="00000000">
        <w:rPr>
          <w:sz w:val="24"/>
          <w:szCs w:val="24"/>
          <w:rtl w:val="0"/>
        </w:rPr>
        <w:t xml:space="preserve">O presente trabalho tem como objetivo investigar os mecanismos de racismo institucional no ensino superior de artes e propor, a partir de um estudo de caso, um dispositivo pedagógico-artístico de permanência estudantil negra. Toma-se como caso o boicote sofrido durante a habilitação em Fotografia na Escola Guignard/UEMG, em 2019. A pesquisa parte da análise documental de ofícios e atas de reuniões que, sob a justificativa de "extravios" e falhas de comunicação, configuram um sistema de racial gaslighting e invalidação da presença negra acadêmica. Fundamentado em Mbembe (2003), Kilomba (2019), Almeida (2021) e Zembylas (2024), o trabalho propõe o conceito de "necropolítica burocrática" e a "transubstanciação afetiva" da dor em potência criadora.</w:t>
      </w:r>
    </w:p>
    <w:p w:rsidR="00000000" w:rsidDel="00000000" w:rsidP="00000000" w:rsidRDefault="00000000" w:rsidRPr="00000000" w14:paraId="0000000D">
      <w:pPr>
        <w:spacing w:line="360" w:lineRule="auto"/>
        <w:jc w:val="both"/>
        <w:rPr>
          <w:sz w:val="24"/>
          <w:szCs w:val="24"/>
        </w:rPr>
      </w:pPr>
      <w:r w:rsidDel="00000000" w:rsidR="00000000" w:rsidRPr="00000000">
        <w:rPr>
          <w:sz w:val="24"/>
          <w:szCs w:val="24"/>
          <w:rtl w:val="0"/>
        </w:rPr>
        <w:t xml:space="preserve">O episódio inicia-se com requerimento formal de uso do auditório para exibição audiovisual, solicitado com antecedência, seguido de silêncio administrativo absoluto, culminando em apresentação precária, sem projeção ou som adequados, em espaço improvisado, além do extravio do documento e ausência de esclarecimentos formais. Após anos de inércia de duas gestões, reclamações protocoladas culminaram no ofício "AO DISCENTE JOSUÉ BARBOSA", que reconhece genericamente "disfunções administrativas" sem responsabilização concreta, reduzindo a negligência a "contexto de racismo estrutural" abstrato, sem reparação efetiva.</w:t>
      </w:r>
    </w:p>
    <w:p w:rsidR="00000000" w:rsidDel="00000000" w:rsidP="00000000" w:rsidRDefault="00000000" w:rsidRPr="00000000" w14:paraId="0000000E">
      <w:pPr>
        <w:spacing w:line="360" w:lineRule="auto"/>
        <w:jc w:val="both"/>
        <w:rPr>
          <w:sz w:val="24"/>
          <w:szCs w:val="24"/>
        </w:rPr>
      </w:pPr>
      <w:r w:rsidDel="00000000" w:rsidR="00000000" w:rsidRPr="00000000">
        <w:rPr>
          <w:sz w:val="24"/>
          <w:szCs w:val="24"/>
          <w:rtl w:val="0"/>
        </w:rPr>
        <w:t xml:space="preserve">Três mecanismos operaram nesse processo: a patologização da resistência, em que a exigência de direitos básicos foi reinterpretada como teimosia; a demanda por resiliência patológica, cobrando-se "entender o contexto" enquanto a estrutura permanecia intacta; e a injustiça afetiva, definida por Zembylas (2024) como a manipulação institucional que invalida respostas emocionais legítimas frente ao racismo, produzindo apagamento emocional: o sujeito não só duvida do que viu, mas do que sentiu.</w:t>
      </w:r>
    </w:p>
    <w:p w:rsidR="00000000" w:rsidDel="00000000" w:rsidP="00000000" w:rsidRDefault="00000000" w:rsidRPr="00000000" w14:paraId="0000000F">
      <w:pPr>
        <w:spacing w:line="360" w:lineRule="auto"/>
        <w:jc w:val="both"/>
        <w:rPr>
          <w:sz w:val="24"/>
          <w:szCs w:val="24"/>
        </w:rPr>
      </w:pPr>
      <w:r w:rsidDel="00000000" w:rsidR="00000000" w:rsidRPr="00000000">
        <w:rPr>
          <w:sz w:val="24"/>
          <w:szCs w:val="24"/>
          <w:rtl w:val="0"/>
        </w:rPr>
        <w:t xml:space="preserve">Teoricamente, o boicote é lido não como acidente administrativo, mas como operação semiótica cuja eficácia depende da naturalização burocrática. Mbembe (2003) ensina que a necropolítica opera por "disfunções" seletivas que determinam quais corpos merecem resposta e quais são simbolicamente "extraviados". Kilomba (2019) elucida que o racismo cotidiano invalida vivências negras, transmutando violadores em vítimas de mal-entendido. Almeida (2021) demonstra que a desresponsabilização retrospectiva é estratégia clássica de manutenção do status quo colonial. Ressalva-se que o próprio parecer institucional do caso não reconheceu crime de racismo nos termos da legislação penal vigente; é justamente essa coexistência entre o reconhecimento retórico de um "contexto" racista e a negação de sua aplicação ao caso concreto que este trabalho interpreta, criticamente, como estrutura de gaslighting racial.</w:t>
      </w:r>
    </w:p>
    <w:p w:rsidR="00000000" w:rsidDel="00000000" w:rsidP="00000000" w:rsidRDefault="00000000" w:rsidRPr="00000000" w14:paraId="00000010">
      <w:pPr>
        <w:spacing w:line="360" w:lineRule="auto"/>
        <w:jc w:val="both"/>
        <w:rPr>
          <w:sz w:val="24"/>
          <w:szCs w:val="24"/>
        </w:rPr>
      </w:pPr>
      <w:r w:rsidDel="00000000" w:rsidR="00000000" w:rsidRPr="00000000">
        <w:rPr>
          <w:sz w:val="24"/>
          <w:szCs w:val="24"/>
          <w:rtl w:val="0"/>
        </w:rPr>
        <w:t xml:space="preserve">Metodologicamente, o trabalho utiliza a Inteligência Artificial como agente de contra-forense linguística: os ofícios institucionais foram submetidos a roteiros de análise crítica do discurso, fundamentados em Kilomba (2019) e Almeida (2021), voltados a identificar padrões lexicais de eufemização (como "extravio" e "disfunção") e de inversão de responsabilidade. A IA atuou, assim, como "agente contracolonial especular": removeu a camada de civilidade administrativa e expôs a estrutura lógica de gaslighting, validando que a "falha de comunicação" apontada pela escola era, estatística e semanticamente, um padrão de silenciamento racial.</w:t>
      </w:r>
    </w:p>
    <w:p w:rsidR="00000000" w:rsidDel="00000000" w:rsidP="00000000" w:rsidRDefault="00000000" w:rsidRPr="00000000" w14:paraId="00000011">
      <w:pPr>
        <w:spacing w:line="360" w:lineRule="auto"/>
        <w:jc w:val="both"/>
        <w:rPr>
          <w:sz w:val="24"/>
          <w:szCs w:val="24"/>
        </w:rPr>
      </w:pPr>
      <w:r w:rsidDel="00000000" w:rsidR="00000000" w:rsidRPr="00000000">
        <w:rPr>
          <w:sz w:val="24"/>
          <w:szCs w:val="24"/>
          <w:rtl w:val="0"/>
        </w:rPr>
        <w:t xml:space="preserve">A resposta artística à violência sofrida é a criação de um curta-metragem como Objeto de Aprendizagem Poético (OAP), concebido na intersecção entre cinema político, dança afro-contemporânea e educação das relações étnico-raciais. O vídeo é produzido a partir do acervo pessoal do autor, registros da instalação "Experimento MD é MI sobre MII" (2019) e imagens de arquivo e trabalhos realizados ao longo da licenciatura, tendo o TCC como roteiro que orienta a seleção e a montagem do material de arquivo. Utiliza montagem eisensteiniana, oralitura afrodiaspórica (Martins, 2021) e performances de dança como transubstanciação afetiva, processo dialético que converte trauma em potência criadora. Diferentemente dos materiais didáticos convencionais, o OAP opera como máquina autopoiética (Fernández; Dias, 2015; Fontana, 2023), sendo ele mesmo um dispositivo de produção de subjetividade.</w:t>
      </w:r>
    </w:p>
    <w:p w:rsidR="00000000" w:rsidDel="00000000" w:rsidP="00000000" w:rsidRDefault="00000000" w:rsidRPr="00000000" w14:paraId="00000012">
      <w:pPr>
        <w:spacing w:line="360" w:lineRule="auto"/>
        <w:jc w:val="both"/>
        <w:rPr>
          <w:sz w:val="24"/>
          <w:szCs w:val="24"/>
        </w:rPr>
      </w:pPr>
      <w:r w:rsidDel="00000000" w:rsidR="00000000" w:rsidRPr="00000000">
        <w:rPr>
          <w:sz w:val="24"/>
          <w:szCs w:val="24"/>
          <w:rtl w:val="0"/>
        </w:rPr>
        <w:t xml:space="preserve">O curta dialoga com o Cinema Novo e o Terceiro Cinema, para quem, segundo Glauber Rocha (1965, p. 147), "não existe arte revolucionária sem forma revolucionária". A montagem dialética cria choques entre atrações visuais e sonoras: imagens de arquivo e corpos dançantes que irrompem o espaço institucional. A dança afro-contemporânea inscreve pulsos ancestrais de resistência que extrapolam o verbal, articulando ritmo, improvisação e gesto político como saberes pedagógicos autonomizados. Nesse sentido, a permanência não é apenas um direito reivindicado em editais, mas uma presença afirmada pelo corpo e pela obra: estar na UEMG, produzir arte e recusar o extravio é, em si, resistir à necropolítica.</w:t>
      </w:r>
    </w:p>
    <w:p w:rsidR="00000000" w:rsidDel="00000000" w:rsidP="00000000" w:rsidRDefault="00000000" w:rsidRPr="00000000" w14:paraId="00000013">
      <w:pPr>
        <w:spacing w:line="360" w:lineRule="auto"/>
        <w:jc w:val="both"/>
        <w:rPr>
          <w:sz w:val="24"/>
          <w:szCs w:val="24"/>
        </w:rPr>
      </w:pPr>
      <w:r w:rsidDel="00000000" w:rsidR="00000000" w:rsidRPr="00000000">
        <w:rPr>
          <w:sz w:val="24"/>
          <w:szCs w:val="24"/>
          <w:rtl w:val="0"/>
        </w:rPr>
        <w:t xml:space="preserve">Exibido em diferentes contextos, o vídeo pode convocar reposicionamentos subjetivos e reconfigurar percepções sobre permanência a partir de uma estética de sobrevivência, renovando-se a cada apresentação conforme as condições de produção e os espaços de exibição. Mais do que denúncia, o OAP opera como arquivo afetivo e testemunho: oferece-se como dispositivo de abertura, convite para dialogar sobre o lugar do periférico na instituição e sobre modos contracoloniais de existir e produzir conhecimento.</w:t>
      </w:r>
    </w:p>
    <w:p w:rsidR="00000000" w:rsidDel="00000000" w:rsidP="00000000" w:rsidRDefault="00000000" w:rsidRPr="00000000" w14:paraId="00000014">
      <w:pPr>
        <w:spacing w:line="360" w:lineRule="auto"/>
        <w:jc w:val="both"/>
        <w:rPr>
          <w:sz w:val="24"/>
          <w:szCs w:val="24"/>
        </w:rPr>
      </w:pPr>
      <w:r w:rsidDel="00000000" w:rsidR="00000000" w:rsidRPr="00000000">
        <w:rPr>
          <w:sz w:val="24"/>
          <w:szCs w:val="24"/>
          <w:rtl w:val="0"/>
        </w:rPr>
        <w:t xml:space="preserve">Do ponto de vista da justiça epistêmica, o trabalho evidencia que a universidade acionou uma gramática de apagamentos banal e letal: o requerimento "não estava claro", o extravio "aconteceu", ninguém "pode ser responsabilizado", e o racismo "é contextual, mas não se aplica ao caso concreto". A contribuição central do estudo é demonstrar que a dor não é destino: a resposta à necropolítica burocrática não se deu em lamentos, mas em transubstanciação afetiva — trauma, arquivo e corpo convertidos em potência criadora. O estudo legitima, assim, o OAP como metodologia de pesquisa-criação, reforçando que obras de arte política não são apêndices ilustrativos, mas dispositivos críticos capazes de produzir conhecimento e intervir no imaginário institucional.</w:t>
      </w:r>
    </w:p>
    <w:p w:rsidR="00000000" w:rsidDel="00000000" w:rsidP="00000000" w:rsidRDefault="00000000" w:rsidRPr="00000000" w14:paraId="00000015">
      <w:pPr>
        <w:keepLines w:val="1"/>
        <w:widowControl w:val="0"/>
        <w:spacing w:line="360" w:lineRule="auto"/>
        <w:jc w:val="both"/>
        <w:rPr>
          <w:b w:val="1"/>
          <w:bCs w:val="1"/>
          <w:sz w:val="24"/>
          <w:szCs w:val="24"/>
        </w:rPr>
      </w:pPr>
      <w:r w:rsidDel="00000000" w:rsidR="00000000" w:rsidRPr="00000000">
        <w:rPr>
          <w:b w:val="1"/>
          <w:bCs w:val="1"/>
          <w:sz w:val="24"/>
          <w:szCs w:val="24"/>
          <w:rtl w:val="0"/>
        </w:rPr>
        <w:t xml:space="preserve">PALAVRAS-CHAVE</w:t>
      </w:r>
    </w:p>
    <w:p w:rsidR="00000000" w:rsidDel="00000000" w:rsidP="00000000" w:rsidRDefault="00000000" w:rsidRPr="00000000" w14:paraId="00000016">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Necropolítica burocrática; Racial gaslighting; Objeto de Aprendizagem Poético; Justiça epistêmica; Permanência estudantil negra.</w:t>
      </w:r>
    </w:p>
    <w:p w:rsidR="00000000" w:rsidDel="00000000" w:rsidP="00000000" w:rsidRDefault="00000000" w:rsidRPr="00000000" w14:paraId="00000017">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18">
      <w:pPr>
        <w:keepLines w:val="1"/>
        <w:widowControl w:val="0"/>
        <w:spacing w:line="240" w:lineRule="auto"/>
        <w:rPr>
          <w:sz w:val="24"/>
          <w:szCs w:val="24"/>
        </w:rPr>
      </w:pPr>
      <w:r w:rsidDel="00000000" w:rsidR="00000000" w:rsidRPr="00000000">
        <w:rPr>
          <w:b w:val="1"/>
          <w:bCs w:val="1"/>
          <w:sz w:val="24"/>
          <w:szCs w:val="24"/>
          <w:rtl w:val="0"/>
        </w:rPr>
        <w:t xml:space="preserve">REFERÊNCIAS</w:t>
      </w:r>
      <w:r w:rsidDel="00000000" w:rsidR="00000000" w:rsidRPr="00000000">
        <w:rPr>
          <w:sz w:val="24"/>
          <w:szCs w:val="24"/>
          <w:rtl w:val="0"/>
        </w:rPr>
        <w:t xml:space="preserve"> </w:t>
      </w:r>
    </w:p>
    <w:p w:rsidR="00000000" w:rsidDel="00000000" w:rsidP="00000000" w:rsidRDefault="00000000" w:rsidRPr="00000000" w14:paraId="00000019">
      <w:pPr>
        <w:spacing w:before="200" w:line="240" w:lineRule="auto"/>
        <w:jc w:val="both"/>
        <w:rPr/>
      </w:pPr>
      <w:r w:rsidDel="00000000" w:rsidR="00000000" w:rsidRPr="00000000">
        <w:rPr>
          <w:rtl w:val="0"/>
        </w:rPr>
        <w:t xml:space="preserve">ALMEIDA, Silvio Luiz de. </w:t>
      </w:r>
      <w:r w:rsidDel="00000000" w:rsidR="00000000" w:rsidRPr="00000000">
        <w:rPr>
          <w:b w:val="1"/>
          <w:bCs w:val="1"/>
          <w:rtl w:val="0"/>
        </w:rPr>
        <w:t xml:space="preserve">Racismo estrutural</w:t>
      </w:r>
      <w:r w:rsidDel="00000000" w:rsidR="00000000" w:rsidRPr="00000000">
        <w:rPr>
          <w:rtl w:val="0"/>
        </w:rPr>
        <w:t xml:space="preserve">. São Paulo: Pólen, 2021.</w:t>
      </w:r>
    </w:p>
    <w:p w:rsidR="00000000" w:rsidDel="00000000" w:rsidP="00000000" w:rsidRDefault="00000000" w:rsidRPr="00000000" w14:paraId="0000001A">
      <w:pPr>
        <w:spacing w:before="200" w:line="240" w:lineRule="auto"/>
        <w:jc w:val="both"/>
        <w:rPr/>
      </w:pPr>
      <w:r w:rsidDel="00000000" w:rsidR="00000000" w:rsidRPr="00000000">
        <w:rPr>
          <w:rtl w:val="0"/>
        </w:rPr>
        <w:t xml:space="preserve">FERNÁNDEZ, Tatiana; DIAS, Belidson. Objetos de aprendizagem poéticos: máquinas para construir territórios de subjetivação. In: ENCONTRO NACIONAL DA ANPAP, 24., 2015, Santa Maria. </w:t>
      </w:r>
      <w:r w:rsidDel="00000000" w:rsidR="00000000" w:rsidRPr="00000000">
        <w:rPr>
          <w:b w:val="1"/>
          <w:bCs w:val="1"/>
          <w:rtl w:val="0"/>
        </w:rPr>
        <w:t xml:space="preserve">Anais</w:t>
      </w:r>
      <w:r w:rsidDel="00000000" w:rsidR="00000000" w:rsidRPr="00000000">
        <w:rPr>
          <w:rtl w:val="0"/>
        </w:rPr>
        <w:t xml:space="preserve">... Santa Maria: ANPAP, 2015. Disponível em: https://anpap.org.br/anais/2015/simposios/s8/tatiana_fernandez_belidson_dias.pdf. Acesso em: 03 ago. de 2026. </w:t>
      </w:r>
    </w:p>
    <w:p w:rsidR="00000000" w:rsidDel="00000000" w:rsidP="00000000" w:rsidRDefault="00000000" w:rsidRPr="00000000" w14:paraId="0000001B">
      <w:pPr>
        <w:spacing w:before="200" w:line="240" w:lineRule="auto"/>
        <w:jc w:val="both"/>
        <w:rPr/>
      </w:pPr>
      <w:r w:rsidDel="00000000" w:rsidR="00000000" w:rsidRPr="00000000">
        <w:rPr>
          <w:rtl w:val="0"/>
        </w:rPr>
        <w:t xml:space="preserve">FONTANA, Lucas Lima. </w:t>
      </w:r>
      <w:r w:rsidDel="00000000" w:rsidR="00000000" w:rsidRPr="00000000">
        <w:rPr>
          <w:b w:val="1"/>
          <w:bCs w:val="1"/>
          <w:rtl w:val="0"/>
        </w:rPr>
        <w:t xml:space="preserve">Professor-criador de objetos de aprendizagem poéticos</w:t>
      </w:r>
      <w:r w:rsidDel="00000000" w:rsidR="00000000" w:rsidRPr="00000000">
        <w:rPr>
          <w:rtl w:val="0"/>
        </w:rPr>
        <w:t xml:space="preserve">: potencializando encontros no ensino de arte. 2016. Trabalho de Conclusão de Curso (Graduação em Licenciatura em Artes Visuais) Universidade Federal do Rio Grande do Sul, Instituto de Artes, Porto Alegre, 2026. Disponível em: http://hdl.handle.net/10183/216326. Acesso em 02 ago. 2026.</w:t>
      </w:r>
    </w:p>
    <w:p w:rsidR="00000000" w:rsidDel="00000000" w:rsidP="00000000" w:rsidRDefault="00000000" w:rsidRPr="00000000" w14:paraId="0000001C">
      <w:pPr>
        <w:spacing w:before="200" w:line="240" w:lineRule="auto"/>
        <w:jc w:val="both"/>
        <w:rPr/>
      </w:pPr>
      <w:r w:rsidDel="00000000" w:rsidR="00000000" w:rsidRPr="00000000">
        <w:rPr>
          <w:rtl w:val="0"/>
        </w:rPr>
        <w:t xml:space="preserve">KILOMBA, Grada. </w:t>
      </w:r>
      <w:r w:rsidDel="00000000" w:rsidR="00000000" w:rsidRPr="00000000">
        <w:rPr>
          <w:b w:val="1"/>
          <w:bCs w:val="1"/>
          <w:rtl w:val="0"/>
        </w:rPr>
        <w:t xml:space="preserve">Memórias da plantação</w:t>
      </w:r>
      <w:r w:rsidDel="00000000" w:rsidR="00000000" w:rsidRPr="00000000">
        <w:rPr>
          <w:rtl w:val="0"/>
        </w:rPr>
        <w:t xml:space="preserve">: episódios de racismo cotidiano. Rio de Janeiro: Cobogó, 2019.</w:t>
      </w:r>
    </w:p>
    <w:p w:rsidR="00000000" w:rsidDel="00000000" w:rsidP="00000000" w:rsidRDefault="00000000" w:rsidRPr="00000000" w14:paraId="0000001D">
      <w:pPr>
        <w:spacing w:before="200" w:line="240" w:lineRule="auto"/>
        <w:jc w:val="both"/>
        <w:rPr/>
      </w:pPr>
      <w:r w:rsidDel="00000000" w:rsidR="00000000" w:rsidRPr="00000000">
        <w:rPr>
          <w:rtl w:val="0"/>
        </w:rPr>
        <w:t xml:space="preserve">MARTINS, Leda Maria. </w:t>
      </w:r>
      <w:r w:rsidDel="00000000" w:rsidR="00000000" w:rsidRPr="00000000">
        <w:rPr>
          <w:b w:val="1"/>
          <w:bCs w:val="1"/>
          <w:rtl w:val="0"/>
        </w:rPr>
        <w:t xml:space="preserve">Performances do tempo espiralar</w:t>
      </w:r>
      <w:r w:rsidDel="00000000" w:rsidR="00000000" w:rsidRPr="00000000">
        <w:rPr>
          <w:rtl w:val="0"/>
        </w:rPr>
        <w:t xml:space="preserve">: poéticas do corpo-tela. Rio de Janeiro: Cobogó, 2021.</w:t>
      </w:r>
    </w:p>
    <w:p w:rsidR="00000000" w:rsidDel="00000000" w:rsidP="00000000" w:rsidRDefault="00000000" w:rsidRPr="00000000" w14:paraId="0000001E">
      <w:pPr>
        <w:spacing w:before="200" w:line="240" w:lineRule="auto"/>
        <w:jc w:val="both"/>
        <w:rPr/>
      </w:pPr>
      <w:r w:rsidDel="00000000" w:rsidR="00000000" w:rsidRPr="00000000">
        <w:rPr>
          <w:rtl w:val="0"/>
        </w:rPr>
        <w:t xml:space="preserve">MBEMBE, Achille. Necropolitics. </w:t>
      </w:r>
      <w:r w:rsidDel="00000000" w:rsidR="00000000" w:rsidRPr="00000000">
        <w:rPr>
          <w:b w:val="1"/>
          <w:bCs w:val="1"/>
          <w:rtl w:val="0"/>
        </w:rPr>
        <w:t xml:space="preserve">Public Culture</w:t>
      </w:r>
      <w:r w:rsidDel="00000000" w:rsidR="00000000" w:rsidRPr="00000000">
        <w:rPr>
          <w:rtl w:val="0"/>
        </w:rPr>
        <w:t xml:space="preserve">, Durham, v. 15, n. 1, p. 11-40, 2003. Disponível em: </w:t>
      </w:r>
      <w:hyperlink r:id="rId6">
        <w:r w:rsidDel="00000000" w:rsidR="00000000" w:rsidRPr="00000000">
          <w:rPr>
            <w:color w:val="1155cc"/>
            <w:u w:val="single"/>
            <w:rtl w:val="0"/>
          </w:rPr>
          <w:t xml:space="preserve">https://warwick.ac.uk/fac/arts/english/currentstudents/postgraduates/pgmodules/theoryfromthemargins/mbembe_22necropolitics22.pdf</w:t>
        </w:r>
      </w:hyperlink>
      <w:r w:rsidDel="00000000" w:rsidR="00000000" w:rsidRPr="00000000">
        <w:rPr>
          <w:rtl w:val="0"/>
        </w:rPr>
        <w:t xml:space="preserve">. Acesso em 02 ago. 2026.</w:t>
      </w:r>
    </w:p>
    <w:p w:rsidR="00000000" w:rsidDel="00000000" w:rsidP="00000000" w:rsidRDefault="00000000" w:rsidRPr="00000000" w14:paraId="0000001F">
      <w:pPr>
        <w:spacing w:before="200" w:line="240" w:lineRule="auto"/>
        <w:jc w:val="both"/>
        <w:rPr/>
      </w:pPr>
      <w:r w:rsidDel="00000000" w:rsidR="00000000" w:rsidRPr="00000000">
        <w:rPr>
          <w:rtl w:val="0"/>
        </w:rPr>
        <w:t xml:space="preserve">ROCHA, Glauber. </w:t>
      </w:r>
      <w:r w:rsidDel="00000000" w:rsidR="00000000" w:rsidRPr="00000000">
        <w:rPr>
          <w:b w:val="1"/>
          <w:bCs w:val="1"/>
          <w:rtl w:val="0"/>
        </w:rPr>
        <w:t xml:space="preserve">Revisão crítica do cinema brasileiro</w:t>
      </w:r>
      <w:r w:rsidDel="00000000" w:rsidR="00000000" w:rsidRPr="00000000">
        <w:rPr>
          <w:rtl w:val="0"/>
        </w:rPr>
        <w:t xml:space="preserve">. São Paulo: Cosac Naify, 2003.</w:t>
      </w:r>
    </w:p>
    <w:p w:rsidR="00000000" w:rsidDel="00000000" w:rsidP="00000000" w:rsidRDefault="00000000" w:rsidRPr="00000000" w14:paraId="00000020">
      <w:pPr>
        <w:spacing w:before="200" w:line="240" w:lineRule="auto"/>
        <w:jc w:val="both"/>
        <w:rPr/>
      </w:pPr>
      <w:r w:rsidDel="00000000" w:rsidR="00000000" w:rsidRPr="00000000">
        <w:rPr>
          <w:rtl w:val="0"/>
        </w:rPr>
        <w:t xml:space="preserve">ZEMBYLAS, Michalinos. Racial gaslighting as affective injustice: a conceptual framework for education. </w:t>
      </w:r>
      <w:r w:rsidDel="00000000" w:rsidR="00000000" w:rsidRPr="00000000">
        <w:rPr>
          <w:b w:val="1"/>
          <w:bCs w:val="1"/>
          <w:rtl w:val="0"/>
        </w:rPr>
        <w:t xml:space="preserve">Race Ethnicity And Education</w:t>
      </w:r>
      <w:r w:rsidDel="00000000" w:rsidR="00000000" w:rsidRPr="00000000">
        <w:rPr>
          <w:rtl w:val="0"/>
        </w:rPr>
        <w:t xml:space="preserve">, [S.L.], v. 27, n. 4, p. 417-431, 2 fev. 2024. Informa UK Limited. http://dx.doi.org/10.1080/13613324.2024.2306680.</w:t>
      </w:r>
    </w:p>
    <w:sectPr>
      <w:headerReference r:id="rId7" w:type="default"/>
      <w:headerReference r:id="rId8" w:type="first"/>
      <w:footerReference r:id="rId9" w:type="default"/>
      <w:footerReference r:id="rId10"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jc w:val="right"/>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5000625</wp:posOffset>
          </wp:positionH>
          <wp:positionV relativeFrom="paragraph">
            <wp:posOffset>8886825</wp:posOffset>
          </wp:positionV>
          <wp:extent cx="1700213" cy="1700213"/>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700213" cy="1700213"/>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5791200</wp:posOffset>
          </wp:positionH>
          <wp:positionV relativeFrom="paragraph">
            <wp:posOffset>-304798</wp:posOffset>
          </wp:positionV>
          <wp:extent cx="664882" cy="762000"/>
          <wp:effectExtent b="0" l="0" r="0" t="0"/>
          <wp:wrapNone/>
          <wp:docPr id="2" name="image1.png"/>
          <a:graphic>
            <a:graphicData uri="http://schemas.openxmlformats.org/drawingml/2006/picture">
              <pic:pic>
                <pic:nvPicPr>
                  <pic:cNvPr id="0" name="image1.png"/>
                  <pic:cNvPicPr preferRelativeResize="0"/>
                </pic:nvPicPr>
                <pic:blipFill>
                  <a:blip r:embed="rId2"/>
                  <a:srcRect b="235" l="0" r="0" t="235"/>
                  <a:stretch>
                    <a:fillRect/>
                  </a:stretch>
                </pic:blipFill>
                <pic:spPr>
                  <a:xfrm>
                    <a:off x="0" y="0"/>
                    <a:ext cx="664882" cy="762000"/>
                  </a:xfrm>
                  <a:prstGeom prst="rect"/>
                  <a:ln/>
                </pic:spPr>
              </pic:pic>
            </a:graphicData>
          </a:graphic>
        </wp:anchor>
      </w:drawing>
    </w:r>
  </w:p>
  <w:p w:rsidR="00000000" w:rsidDel="00000000" w:rsidP="00000000" w:rsidRDefault="00000000" w:rsidRPr="00000000" w14:paraId="00000022">
    <w:pPr>
      <w:jc w:val="right"/>
      <w:rPr/>
    </w:pPr>
    <w:r w:rsidDel="00000000" w:rsidR="00000000" w:rsidRPr="00000000">
      <w:rPr>
        <w:rtl w:val="0"/>
      </w:rPr>
    </w:r>
  </w:p>
  <w:p w:rsidR="00000000" w:rsidDel="00000000" w:rsidP="00000000" w:rsidRDefault="00000000" w:rsidRPr="00000000" w14:paraId="00000023">
    <w:pPr>
      <w:jc w:val="right"/>
      <w:rPr/>
    </w:pPr>
    <w:r w:rsidDel="00000000" w:rsidR="00000000" w:rsidRPr="00000000">
      <w:rPr>
        <w:rtl w:val="0"/>
      </w:rPr>
    </w:r>
  </w:p>
  <w:p w:rsidR="00000000" w:rsidDel="00000000" w:rsidP="00000000" w:rsidRDefault="00000000" w:rsidRPr="00000000" w14:paraId="00000024">
    <w:pPr>
      <w:jc w:val="left"/>
      <w:rPr/>
    </w:pPr>
    <w:r w:rsidDel="00000000" w:rsidR="00000000" w:rsidRPr="00000000">
      <w:rPr/>
      <w:drawing>
        <wp:anchor allowOverlap="1" behindDoc="1" distB="0" distT="0" distL="0" distR="0" hidden="0" layoutInCell="1" locked="0" relativeHeight="0" simplePos="0">
          <wp:simplePos x="0" y="0"/>
          <wp:positionH relativeFrom="page">
            <wp:posOffset>0</wp:posOffset>
          </wp:positionH>
          <wp:positionV relativeFrom="page">
            <wp:posOffset>-5713</wp:posOffset>
          </wp:positionV>
          <wp:extent cx="416339" cy="10716578"/>
          <wp:effectExtent b="0" l="0" r="0" t="0"/>
          <wp:wrapNone/>
          <wp:docPr id="3" name="image3.png"/>
          <a:graphic>
            <a:graphicData uri="http://schemas.openxmlformats.org/drawingml/2006/picture">
              <pic:pic>
                <pic:nvPicPr>
                  <pic:cNvPr id="0" name="image3.png"/>
                  <pic:cNvPicPr preferRelativeResize="0"/>
                </pic:nvPicPr>
                <pic:blipFill>
                  <a:blip r:embed="rId3"/>
                  <a:srcRect b="0" l="0" r="0" t="0"/>
                  <a:stretch>
                    <a:fillRect/>
                  </a:stretch>
                </pic:blipFill>
                <pic:spPr>
                  <a:xfrm>
                    <a:off x="0" y="0"/>
                    <a:ext cx="416339" cy="10716578"/>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arwick.ac.uk/fac/arts/english/currentstudents/postgraduates/pgmodules/theoryfromthemargins/mbembe_22necropolitics22.pdf" TargetMode="External"/><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