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1E611" w14:textId="2C980763" w:rsidR="00911955" w:rsidRDefault="00B572D3" w:rsidP="00B572D3">
      <w:pPr>
        <w:keepLines/>
        <w:widowControl w:val="0"/>
        <w:spacing w:line="240" w:lineRule="auto"/>
        <w:jc w:val="center"/>
        <w:rPr>
          <w:sz w:val="24"/>
          <w:szCs w:val="24"/>
        </w:rPr>
      </w:pPr>
      <w:r w:rsidRPr="00B572D3">
        <w:rPr>
          <w:b/>
          <w:bCs/>
          <w:sz w:val="24"/>
          <w:szCs w:val="24"/>
        </w:rPr>
        <w:t>Educação antirracista na Educação Básica: educando para as relações étnico-raciais</w:t>
      </w:r>
    </w:p>
    <w:p w14:paraId="47D48A5C" w14:textId="77777777" w:rsidR="00B572D3" w:rsidRDefault="00B572D3" w:rsidP="00B572D3">
      <w:pPr>
        <w:keepLines/>
        <w:widowControl w:val="0"/>
        <w:spacing w:line="240" w:lineRule="auto"/>
        <w:jc w:val="center"/>
        <w:rPr>
          <w:b/>
          <w:bCs/>
          <w:sz w:val="24"/>
          <w:szCs w:val="24"/>
        </w:rPr>
      </w:pPr>
    </w:p>
    <w:p w14:paraId="2C7FB74A" w14:textId="5E0220CF" w:rsidR="00911955" w:rsidRPr="00B572D3" w:rsidRDefault="00B572D3" w:rsidP="00B572D3">
      <w:pPr>
        <w:jc w:val="center"/>
        <w:rPr>
          <w:b/>
          <w:bCs/>
          <w:sz w:val="24"/>
          <w:szCs w:val="24"/>
        </w:rPr>
      </w:pPr>
      <w:r w:rsidRPr="00B572D3">
        <w:rPr>
          <w:b/>
          <w:bCs/>
          <w:sz w:val="24"/>
          <w:szCs w:val="24"/>
        </w:rPr>
        <w:t xml:space="preserve">como se relacionam raça e gênero nas escolas da </w:t>
      </w:r>
      <w:proofErr w:type="spellStart"/>
      <w:r w:rsidRPr="00B572D3">
        <w:rPr>
          <w:b/>
          <w:bCs/>
          <w:sz w:val="24"/>
          <w:szCs w:val="24"/>
        </w:rPr>
        <w:t>eja</w:t>
      </w:r>
      <w:proofErr w:type="spellEnd"/>
      <w:r w:rsidRPr="00B572D3">
        <w:rPr>
          <w:b/>
          <w:bCs/>
          <w:sz w:val="24"/>
          <w:szCs w:val="24"/>
        </w:rPr>
        <w:t xml:space="preserve"> no município de </w:t>
      </w:r>
      <w:proofErr w:type="spellStart"/>
      <w:r w:rsidRPr="00B572D3">
        <w:rPr>
          <w:b/>
          <w:bCs/>
          <w:sz w:val="24"/>
          <w:szCs w:val="24"/>
        </w:rPr>
        <w:t>araguaína-to</w:t>
      </w:r>
      <w:proofErr w:type="spellEnd"/>
    </w:p>
    <w:p w14:paraId="3AA75339" w14:textId="77777777" w:rsidR="00911955" w:rsidRDefault="00911955">
      <w:pPr>
        <w:keepLines/>
        <w:widowControl w:val="0"/>
        <w:spacing w:line="240" w:lineRule="auto"/>
        <w:jc w:val="right"/>
        <w:rPr>
          <w:sz w:val="24"/>
          <w:szCs w:val="24"/>
        </w:rPr>
      </w:pPr>
    </w:p>
    <w:p w14:paraId="4030742B" w14:textId="05F40E18" w:rsidR="00911955" w:rsidRDefault="00B572D3">
      <w:pPr>
        <w:keepLines/>
        <w:widowControl w:val="0"/>
        <w:spacing w:line="240" w:lineRule="auto"/>
        <w:jc w:val="right"/>
        <w:rPr>
          <w:sz w:val="24"/>
          <w:szCs w:val="24"/>
        </w:rPr>
      </w:pPr>
      <w:r>
        <w:rPr>
          <w:sz w:val="24"/>
          <w:szCs w:val="24"/>
        </w:rPr>
        <w:t>Marcela Ferreira da Silva</w:t>
      </w:r>
      <w:r w:rsidR="00000000">
        <w:rPr>
          <w:sz w:val="24"/>
          <w:szCs w:val="24"/>
        </w:rPr>
        <w:t xml:space="preserve">, </w:t>
      </w:r>
      <w:r>
        <w:rPr>
          <w:sz w:val="24"/>
          <w:szCs w:val="24"/>
        </w:rPr>
        <w:t>Universidade Federal Norte do Tocantins</w:t>
      </w:r>
      <w:r w:rsidR="00000000">
        <w:rPr>
          <w:sz w:val="24"/>
          <w:szCs w:val="24"/>
        </w:rPr>
        <w:t xml:space="preserve">, </w:t>
      </w:r>
      <w:r>
        <w:rPr>
          <w:sz w:val="24"/>
          <w:szCs w:val="24"/>
        </w:rPr>
        <w:t>marcelaferreirageo@hotmail.com</w:t>
      </w:r>
    </w:p>
    <w:p w14:paraId="194E6ACF" w14:textId="77777777" w:rsidR="00911955" w:rsidRDefault="00911955">
      <w:pPr>
        <w:keepLines/>
        <w:widowControl w:val="0"/>
        <w:spacing w:line="240" w:lineRule="auto"/>
        <w:rPr>
          <w:sz w:val="24"/>
          <w:szCs w:val="24"/>
        </w:rPr>
      </w:pPr>
    </w:p>
    <w:p w14:paraId="706438B9" w14:textId="77777777" w:rsidR="00911955" w:rsidRDefault="00911955">
      <w:pPr>
        <w:keepLines/>
        <w:widowControl w:val="0"/>
        <w:spacing w:line="360" w:lineRule="auto"/>
        <w:rPr>
          <w:b/>
          <w:bCs/>
          <w:sz w:val="24"/>
          <w:szCs w:val="24"/>
        </w:rPr>
      </w:pPr>
    </w:p>
    <w:p w14:paraId="4FE113E2" w14:textId="77777777" w:rsidR="00911955" w:rsidRDefault="00000000">
      <w:pPr>
        <w:keepLines/>
        <w:widowControl w:val="0"/>
        <w:spacing w:line="360" w:lineRule="auto"/>
        <w:rPr>
          <w:b/>
          <w:bCs/>
          <w:sz w:val="24"/>
          <w:szCs w:val="24"/>
        </w:rPr>
      </w:pPr>
      <w:r>
        <w:rPr>
          <w:b/>
          <w:bCs/>
          <w:sz w:val="24"/>
          <w:szCs w:val="24"/>
        </w:rPr>
        <w:t>RESUMO</w:t>
      </w:r>
    </w:p>
    <w:p w14:paraId="119D61AC" w14:textId="77777777" w:rsidR="00060FEB" w:rsidRDefault="00060FEB">
      <w:pPr>
        <w:keepLines/>
        <w:widowControl w:val="0"/>
        <w:spacing w:line="360" w:lineRule="auto"/>
        <w:rPr>
          <w:b/>
          <w:bCs/>
          <w:sz w:val="24"/>
          <w:szCs w:val="24"/>
        </w:rPr>
      </w:pPr>
    </w:p>
    <w:p w14:paraId="0AA71FFB" w14:textId="28672B4C" w:rsidR="00060FEB" w:rsidRPr="00B805D0" w:rsidRDefault="00060FEB" w:rsidP="00060FEB">
      <w:pPr>
        <w:spacing w:line="360" w:lineRule="auto"/>
        <w:ind w:firstLine="708"/>
        <w:jc w:val="both"/>
        <w:rPr>
          <w:sz w:val="24"/>
          <w:szCs w:val="24"/>
        </w:rPr>
      </w:pPr>
      <w:r w:rsidRPr="00B805D0">
        <w:rPr>
          <w:sz w:val="24"/>
          <w:szCs w:val="24"/>
        </w:rPr>
        <w:t xml:space="preserve">Este resumo sintetiza as reflexões apresentadas no trabalho "Como se relacionam raça e gênero nas escolas da EJA no Município de </w:t>
      </w:r>
      <w:proofErr w:type="spellStart"/>
      <w:r w:rsidRPr="00B805D0">
        <w:rPr>
          <w:sz w:val="24"/>
          <w:szCs w:val="24"/>
        </w:rPr>
        <w:t>Araguaína-TO</w:t>
      </w:r>
      <w:proofErr w:type="spellEnd"/>
      <w:r w:rsidRPr="00B805D0">
        <w:rPr>
          <w:sz w:val="24"/>
          <w:szCs w:val="24"/>
        </w:rPr>
        <w:t>", produzido para a disciplina</w:t>
      </w:r>
      <w:r>
        <w:rPr>
          <w:sz w:val="24"/>
          <w:szCs w:val="24"/>
        </w:rPr>
        <w:t xml:space="preserve"> de</w:t>
      </w:r>
      <w:r w:rsidRPr="00B805D0">
        <w:rPr>
          <w:sz w:val="24"/>
          <w:szCs w:val="24"/>
        </w:rPr>
        <w:t xml:space="preserve"> Raça e Gênero nos Estudos de Cultura e Território, do Programa de Pós-Graduação em Estudos de Cultura e Território (PPGCULT/UFNT). O texto parte da minha vivência como professora da Educação de Jovens e Adultos (EJA) no município de Araguaína para problematizar a relação entre raça, gênero e evasão escolar, tomando como ponto de partida a constatação de que o abandono dos estudos, no qual meus alunos foram submetidos na sua infância e na adolescência até o retorno para a EJA, raramente decorreu de uma escolha individual. Ao contrário, ele se articula a</w:t>
      </w:r>
      <w:r>
        <w:rPr>
          <w:sz w:val="24"/>
          <w:szCs w:val="24"/>
        </w:rPr>
        <w:t>o</w:t>
      </w:r>
      <w:r w:rsidRPr="00B805D0">
        <w:rPr>
          <w:sz w:val="24"/>
          <w:szCs w:val="24"/>
        </w:rPr>
        <w:t xml:space="preserve"> trabalho infantil, desestruturação familiar, situações de violência e abuso, e a diferentes formas de desigualdade social que atravessaram a trajetória desses estudantes.</w:t>
      </w:r>
    </w:p>
    <w:p w14:paraId="488295E8" w14:textId="77777777" w:rsidR="00060FEB" w:rsidRPr="00B805D0" w:rsidRDefault="00060FEB" w:rsidP="00060FEB">
      <w:pPr>
        <w:spacing w:line="360" w:lineRule="auto"/>
        <w:ind w:firstLine="708"/>
        <w:jc w:val="both"/>
        <w:rPr>
          <w:sz w:val="24"/>
          <w:szCs w:val="24"/>
        </w:rPr>
      </w:pPr>
      <w:r w:rsidRPr="00B805D0">
        <w:rPr>
          <w:sz w:val="24"/>
          <w:szCs w:val="24"/>
        </w:rPr>
        <w:t>No caso das mulheres, essa interrupção assume contornos específicos, historicamente vinculada ao trabalho doméstico, à proibição do marido ou da família, à maternidade precoce e a estratégias de sobrevivência impostas pela vulnerabilidade social. A recorrência desse padrão levanta uma pergunta central do trabalho: por que essa responsabilidade recai quase sempre sobre a mulher? A resposta proposta remete à sociedade patriarcal, compreendida não como um dado natural, mas como produto histórico. Apoiando-me em Lugones (2008) e no conceito de "colonialidade do gênero", argumento que o sistema colonial impôs um padrão global de poder que hierarquizou corpos e desestruturou organizações sociais originárias, de modo que a opressão de gênero é resultado de uma imposição colonial que persiste até hoje, e não um traço natural das relações sociais.</w:t>
      </w:r>
    </w:p>
    <w:p w14:paraId="54BDC830" w14:textId="77777777" w:rsidR="00060FEB" w:rsidRPr="00B805D0" w:rsidRDefault="00060FEB" w:rsidP="00060FEB">
      <w:pPr>
        <w:spacing w:line="360" w:lineRule="auto"/>
        <w:ind w:firstLine="708"/>
        <w:jc w:val="both"/>
        <w:rPr>
          <w:sz w:val="24"/>
          <w:szCs w:val="24"/>
        </w:rPr>
      </w:pPr>
      <w:r w:rsidRPr="00B805D0">
        <w:rPr>
          <w:sz w:val="24"/>
          <w:szCs w:val="24"/>
        </w:rPr>
        <w:lastRenderedPageBreak/>
        <w:t>Essa vivência docente, marcada pela maioria de alunos e alunas negras em contexto de escola periférica, dialoga com a análise de Gonzalez (1984) sobre o racismo como sintoma da neurose cultural brasileira, com efeitos particularmente violentos sobre a mulher negra. Meus estudantes ilustram, de forma atualizada, aquela mesma lógica, a divisão racial do espaço social que historicamente reservou às famílias negras que são os lugares de maior precariedade é a mesma que hoje os empurra para fora da escola. Assim, o abandono escolar não é acidental nem individual é a repetição contemporânea de uma estrutura de exclusão que Gonzalez já identificava décadas atrás.</w:t>
      </w:r>
    </w:p>
    <w:p w14:paraId="47528BFC" w14:textId="2A3F61FD" w:rsidR="00060FEB" w:rsidRPr="00B805D0" w:rsidRDefault="00060FEB" w:rsidP="00B572D3">
      <w:pPr>
        <w:spacing w:line="360" w:lineRule="auto"/>
        <w:ind w:firstLine="708"/>
        <w:jc w:val="both"/>
        <w:rPr>
          <w:sz w:val="24"/>
          <w:szCs w:val="24"/>
        </w:rPr>
      </w:pPr>
      <w:r w:rsidRPr="00B805D0">
        <w:rPr>
          <w:sz w:val="24"/>
          <w:szCs w:val="24"/>
        </w:rPr>
        <w:t>O trabalho argumenta que raça, gênero e classe social não operam isoladamente, mas se articulam nas experiências de exclusão escolar</w:t>
      </w:r>
      <w:r w:rsidR="00B572D3">
        <w:rPr>
          <w:sz w:val="24"/>
          <w:szCs w:val="24"/>
        </w:rPr>
        <w:t xml:space="preserve">, </w:t>
      </w:r>
      <w:proofErr w:type="gramStart"/>
      <w:r w:rsidR="00B572D3">
        <w:rPr>
          <w:sz w:val="24"/>
          <w:szCs w:val="24"/>
        </w:rPr>
        <w:t xml:space="preserve">pois </w:t>
      </w:r>
      <w:r w:rsidRPr="00B805D0">
        <w:rPr>
          <w:sz w:val="24"/>
          <w:szCs w:val="24"/>
        </w:rPr>
        <w:t xml:space="preserve"> aproximadamente</w:t>
      </w:r>
      <w:proofErr w:type="gramEnd"/>
      <w:r w:rsidRPr="00B805D0">
        <w:rPr>
          <w:sz w:val="24"/>
          <w:szCs w:val="24"/>
        </w:rPr>
        <w:t xml:space="preserve"> 80% dos estudantes da EJA em evasão são negros, trabalhadores explorados cotidianamente e moradores de periferia. Apoiando-me em Collins (2017), sustento que essa leitura interseccional não nasceu nos gabinetes acadêmicos, mas nas próprias lutas de mulheres negras, para quem isolar raça ou isolar gênero produziria sempre uma análise parcial da injustiça vivida. A autora chama atenção, ainda, para o risco de essas categorias, ao migrarem da militância para espaços institucionais como a universidade, serem assimiladas apenas em sua forma, enquanto seu conteúdo transformador se dilui pelo caminho.</w:t>
      </w:r>
      <w:r w:rsidR="00B572D3">
        <w:rPr>
          <w:sz w:val="24"/>
          <w:szCs w:val="24"/>
        </w:rPr>
        <w:t xml:space="preserve"> </w:t>
      </w:r>
      <w:r w:rsidRPr="00B805D0">
        <w:rPr>
          <w:sz w:val="24"/>
          <w:szCs w:val="24"/>
        </w:rPr>
        <w:t>Esse deslocamento entre a conquista formal e a efetivação material do direito à educação é outro eixo da reflexão, mesmo com a garantia constitucional de 1988 e a Lei de Diretrizes e Bases da Educação Nacional, frutos das lutas pela redemocratização do país, a evasão escolar segue distribuída de forma desigual por raça e gênero. Isso sugere que políticas voltadas à permanência escolar precisam tratar raça, gênero e classe como categorias interligadas, e não como problemas a serem enfrentados separadamente.</w:t>
      </w:r>
    </w:p>
    <w:p w14:paraId="44D117BE" w14:textId="77777777" w:rsidR="00060FEB" w:rsidRPr="00B805D0" w:rsidRDefault="00060FEB" w:rsidP="00060FEB">
      <w:pPr>
        <w:spacing w:line="360" w:lineRule="auto"/>
        <w:ind w:firstLine="708"/>
        <w:jc w:val="both"/>
        <w:rPr>
          <w:sz w:val="24"/>
          <w:szCs w:val="24"/>
        </w:rPr>
      </w:pPr>
      <w:r w:rsidRPr="00B805D0">
        <w:rPr>
          <w:sz w:val="24"/>
          <w:szCs w:val="24"/>
        </w:rPr>
        <w:t xml:space="preserve">O texto aprofunda essa articulação entre racismo, colonialismo e classe a partir de Manoel (2020), que situa o colonialismo e a racialização como elementos centrais e definidores da modernidade burguesa, herança teórica.  A discussão racial e muito vista nas ideias de Fanon (2008) quando o autor mostra como o racismo colonial é capaz de construir o negro como um não sujeito, e inferiorizado "para o negro, há apenas um destino. E ele é branco" (FANON, 2008, p. 28)., uma dialética que, décadas depois, ainda se manifesta na sala de aula da EJA, quando estudantes </w:t>
      </w:r>
      <w:r w:rsidRPr="00B805D0">
        <w:rPr>
          <w:sz w:val="24"/>
          <w:szCs w:val="24"/>
        </w:rPr>
        <w:lastRenderedPageBreak/>
        <w:t>negros e negras carregam os efeitos de uma sociedade que historicamente os posicionou no lugar do "Outro", subalternizado e silenciado.</w:t>
      </w:r>
    </w:p>
    <w:p w14:paraId="24889BA8" w14:textId="596E489F" w:rsidR="00060FEB" w:rsidRPr="00B805D0" w:rsidRDefault="00060FEB" w:rsidP="00060FEB">
      <w:pPr>
        <w:spacing w:line="360" w:lineRule="auto"/>
        <w:ind w:firstLine="708"/>
        <w:jc w:val="both"/>
        <w:rPr>
          <w:sz w:val="24"/>
          <w:szCs w:val="24"/>
        </w:rPr>
      </w:pPr>
      <w:r w:rsidRPr="00B805D0">
        <w:rPr>
          <w:sz w:val="24"/>
          <w:szCs w:val="24"/>
        </w:rPr>
        <w:t>Na parte final, o trabalho discute os desafios cotidianos de garantir a permanência dos estudantes na</w:t>
      </w:r>
      <w:r w:rsidR="00B572D3">
        <w:rPr>
          <w:sz w:val="24"/>
          <w:szCs w:val="24"/>
        </w:rPr>
        <w:t>s</w:t>
      </w:r>
      <w:r w:rsidRPr="00B805D0">
        <w:rPr>
          <w:sz w:val="24"/>
          <w:szCs w:val="24"/>
        </w:rPr>
        <w:t xml:space="preserve"> escola</w:t>
      </w:r>
      <w:r w:rsidR="00B572D3">
        <w:rPr>
          <w:sz w:val="24"/>
          <w:szCs w:val="24"/>
        </w:rPr>
        <w:t>s</w:t>
      </w:r>
      <w:r w:rsidRPr="00B805D0">
        <w:rPr>
          <w:sz w:val="24"/>
          <w:szCs w:val="24"/>
        </w:rPr>
        <w:t xml:space="preserve"> da EJA que podem ser citadas as jornadas de trabalho exaustivas, baixos salários, condições precárias e o cansaço físico e emocional que dificulta a frequência às aulas noturnas. Somam-se a isso responsabilidades com a família, dificuldades financeiras, questões de saúde e a ausência de políticas públicas que garantam condições efetivas de permanência. Apoiando-me em Magalhães (2023), relaciono essa realidade à articulação estrutural entre capitalismo e racismo na formação da classe trabalhadora brasileira, dinâmica que atinge de forma mais intensa a população negra. A evasão na EJA, portanto, não expressa falta de interesse dos estudantes, mas desigualdades estruturais que os obrigam a priorizar a sobrevivência em detrimento da escolarização.</w:t>
      </w:r>
    </w:p>
    <w:p w14:paraId="27C84863" w14:textId="77777777" w:rsidR="00060FEB" w:rsidRDefault="00060FEB" w:rsidP="00060FEB">
      <w:pPr>
        <w:spacing w:line="360" w:lineRule="auto"/>
        <w:ind w:firstLine="708"/>
        <w:jc w:val="both"/>
        <w:rPr>
          <w:sz w:val="24"/>
          <w:szCs w:val="24"/>
        </w:rPr>
      </w:pPr>
      <w:r w:rsidRPr="00B805D0">
        <w:rPr>
          <w:sz w:val="24"/>
          <w:szCs w:val="24"/>
        </w:rPr>
        <w:t xml:space="preserve">Por fim, encontro em </w:t>
      </w:r>
      <w:proofErr w:type="spellStart"/>
      <w:r w:rsidRPr="00B805D0">
        <w:rPr>
          <w:sz w:val="24"/>
          <w:szCs w:val="24"/>
        </w:rPr>
        <w:t>hooks</w:t>
      </w:r>
      <w:proofErr w:type="spellEnd"/>
      <w:r w:rsidRPr="00B805D0">
        <w:rPr>
          <w:sz w:val="24"/>
          <w:szCs w:val="24"/>
        </w:rPr>
        <w:t xml:space="preserve"> (2013) uma perspectiva que orienta minha própria prática docente, que mesmo diante de tantas barreiras estruturais, a sala de aula pode se tornar um ambiente de possibilidade, espaço de compromisso libertador e não apenas de reprodução das hierarquias de raça, gênero e classe. É essa aposta pedagógica, de pensar a educação como prática de liberdade e como espaço de reconstrução da autoestima e da consciência crítica. </w:t>
      </w:r>
    </w:p>
    <w:p w14:paraId="7321E57A" w14:textId="77777777" w:rsidR="00B572D3" w:rsidRDefault="00B572D3" w:rsidP="00B572D3">
      <w:pPr>
        <w:spacing w:line="360" w:lineRule="auto"/>
        <w:jc w:val="both"/>
        <w:rPr>
          <w:sz w:val="24"/>
          <w:szCs w:val="24"/>
        </w:rPr>
      </w:pPr>
    </w:p>
    <w:p w14:paraId="59FC67F6" w14:textId="77777777" w:rsidR="00B572D3" w:rsidRDefault="00B572D3" w:rsidP="00B572D3">
      <w:pPr>
        <w:keepLines/>
        <w:widowControl w:val="0"/>
        <w:spacing w:line="360" w:lineRule="auto"/>
        <w:jc w:val="both"/>
        <w:rPr>
          <w:b/>
          <w:bCs/>
          <w:sz w:val="24"/>
          <w:szCs w:val="24"/>
        </w:rPr>
      </w:pPr>
      <w:r>
        <w:rPr>
          <w:b/>
          <w:bCs/>
          <w:sz w:val="24"/>
          <w:szCs w:val="24"/>
        </w:rPr>
        <w:t>PALAVRAS-CHAVE</w:t>
      </w:r>
    </w:p>
    <w:p w14:paraId="432D40B4" w14:textId="77777777" w:rsidR="00B572D3" w:rsidRPr="00B572D3" w:rsidRDefault="00B572D3" w:rsidP="00B572D3">
      <w:pPr>
        <w:spacing w:after="300"/>
        <w:jc w:val="both"/>
      </w:pPr>
      <w:r w:rsidRPr="00B572D3">
        <w:rPr>
          <w:b/>
          <w:bCs/>
        </w:rPr>
        <w:t xml:space="preserve">Palavras-chave: </w:t>
      </w:r>
      <w:r w:rsidRPr="00B572D3">
        <w:t>EJA; raça; gênero; evasão escolar; interseccionalidade.</w:t>
      </w:r>
    </w:p>
    <w:p w14:paraId="498DB4F6" w14:textId="77777777" w:rsidR="00060FEB" w:rsidRPr="00B805D0" w:rsidRDefault="00060FEB" w:rsidP="00060FEB">
      <w:pPr>
        <w:spacing w:before="300" w:after="200"/>
        <w:rPr>
          <w:sz w:val="24"/>
          <w:szCs w:val="24"/>
        </w:rPr>
      </w:pPr>
      <w:r w:rsidRPr="00B805D0">
        <w:rPr>
          <w:b/>
          <w:bCs/>
          <w:sz w:val="24"/>
          <w:szCs w:val="24"/>
        </w:rPr>
        <w:t>REFERÊNCIAS</w:t>
      </w:r>
    </w:p>
    <w:p w14:paraId="5C6427A5" w14:textId="77777777" w:rsidR="00060FEB" w:rsidRPr="00B805D0" w:rsidRDefault="00060FEB" w:rsidP="00060FEB">
      <w:pPr>
        <w:spacing w:after="200" w:line="300" w:lineRule="auto"/>
        <w:rPr>
          <w:sz w:val="24"/>
          <w:szCs w:val="24"/>
        </w:rPr>
      </w:pPr>
      <w:r w:rsidRPr="00B805D0">
        <w:rPr>
          <w:sz w:val="24"/>
          <w:szCs w:val="24"/>
        </w:rPr>
        <w:t xml:space="preserve">COLLINS, </w:t>
      </w:r>
      <w:proofErr w:type="spellStart"/>
      <w:r w:rsidRPr="00B805D0">
        <w:rPr>
          <w:sz w:val="24"/>
          <w:szCs w:val="24"/>
        </w:rPr>
        <w:t>Patricia</w:t>
      </w:r>
      <w:proofErr w:type="spellEnd"/>
      <w:r w:rsidRPr="00B805D0">
        <w:rPr>
          <w:sz w:val="24"/>
          <w:szCs w:val="24"/>
        </w:rPr>
        <w:t xml:space="preserve"> Hill. </w:t>
      </w:r>
      <w:r w:rsidRPr="00B805D0">
        <w:rPr>
          <w:b/>
          <w:bCs/>
          <w:sz w:val="24"/>
          <w:szCs w:val="24"/>
        </w:rPr>
        <w:t>Se perdeu na tradução? Feminismo negro,</w:t>
      </w:r>
      <w:r w:rsidRPr="00B805D0">
        <w:rPr>
          <w:sz w:val="24"/>
          <w:szCs w:val="24"/>
        </w:rPr>
        <w:t xml:space="preserve"> interseccionalidade e política emancipatória. Parágrafo, São Paulo, v. 5, n. 1, p. 6-17, jan./jun. 2017.</w:t>
      </w:r>
    </w:p>
    <w:p w14:paraId="0951BC76" w14:textId="77777777" w:rsidR="00060FEB" w:rsidRPr="00B805D0" w:rsidRDefault="00060FEB" w:rsidP="00060FEB">
      <w:pPr>
        <w:spacing w:after="200" w:line="300" w:lineRule="auto"/>
        <w:rPr>
          <w:sz w:val="24"/>
          <w:szCs w:val="24"/>
        </w:rPr>
      </w:pPr>
      <w:r w:rsidRPr="00B805D0">
        <w:rPr>
          <w:sz w:val="24"/>
          <w:szCs w:val="24"/>
        </w:rPr>
        <w:t xml:space="preserve">FANON, Frantz. </w:t>
      </w:r>
      <w:r w:rsidRPr="00B805D0">
        <w:rPr>
          <w:b/>
          <w:bCs/>
          <w:sz w:val="24"/>
          <w:szCs w:val="24"/>
        </w:rPr>
        <w:t>Pele negra, máscaras brancas</w:t>
      </w:r>
      <w:r w:rsidRPr="00B805D0">
        <w:rPr>
          <w:sz w:val="24"/>
          <w:szCs w:val="24"/>
        </w:rPr>
        <w:t>. Tradução de Renato da Silveira. Salvador: EDUFBA, 2008.</w:t>
      </w:r>
    </w:p>
    <w:p w14:paraId="1FB7B457" w14:textId="77777777" w:rsidR="00060FEB" w:rsidRPr="00B805D0" w:rsidRDefault="00060FEB" w:rsidP="00060FEB">
      <w:pPr>
        <w:spacing w:after="200" w:line="300" w:lineRule="auto"/>
        <w:rPr>
          <w:sz w:val="24"/>
          <w:szCs w:val="24"/>
        </w:rPr>
      </w:pPr>
      <w:r w:rsidRPr="00B805D0">
        <w:rPr>
          <w:sz w:val="24"/>
          <w:szCs w:val="24"/>
        </w:rPr>
        <w:t xml:space="preserve">GONZALEZ, Lélia. </w:t>
      </w:r>
      <w:r w:rsidRPr="00B805D0">
        <w:rPr>
          <w:b/>
          <w:bCs/>
          <w:sz w:val="24"/>
          <w:szCs w:val="24"/>
        </w:rPr>
        <w:t>Racismo e sexismo na cultura brasileira</w:t>
      </w:r>
      <w:r w:rsidRPr="00B805D0">
        <w:rPr>
          <w:sz w:val="24"/>
          <w:szCs w:val="24"/>
        </w:rPr>
        <w:t xml:space="preserve">. Revista Ciências Sociais Hoje, </w:t>
      </w:r>
      <w:proofErr w:type="spellStart"/>
      <w:r w:rsidRPr="00B805D0">
        <w:rPr>
          <w:sz w:val="24"/>
          <w:szCs w:val="24"/>
        </w:rPr>
        <w:t>Anpocs</w:t>
      </w:r>
      <w:proofErr w:type="spellEnd"/>
      <w:r w:rsidRPr="00B805D0">
        <w:rPr>
          <w:sz w:val="24"/>
          <w:szCs w:val="24"/>
        </w:rPr>
        <w:t>, 1984.</w:t>
      </w:r>
    </w:p>
    <w:p w14:paraId="658E2D4B" w14:textId="77777777" w:rsidR="00060FEB" w:rsidRPr="00B805D0" w:rsidRDefault="00060FEB" w:rsidP="00060FEB">
      <w:pPr>
        <w:spacing w:after="200" w:line="300" w:lineRule="auto"/>
        <w:rPr>
          <w:sz w:val="24"/>
          <w:szCs w:val="24"/>
        </w:rPr>
      </w:pPr>
      <w:r w:rsidRPr="00B805D0">
        <w:rPr>
          <w:sz w:val="24"/>
          <w:szCs w:val="24"/>
        </w:rPr>
        <w:lastRenderedPageBreak/>
        <w:t xml:space="preserve">HOOKS, Bell. </w:t>
      </w:r>
      <w:r w:rsidRPr="00B805D0">
        <w:rPr>
          <w:b/>
          <w:bCs/>
          <w:sz w:val="24"/>
          <w:szCs w:val="24"/>
        </w:rPr>
        <w:t>Ensinando a transgredir: a educação como prática da liberdade</w:t>
      </w:r>
      <w:r w:rsidRPr="00B805D0">
        <w:rPr>
          <w:sz w:val="24"/>
          <w:szCs w:val="24"/>
        </w:rPr>
        <w:t>. Tradução de Marcelo Brandão Cipolla. São Paulo: Editora WMF Martins Fontes, 2013.</w:t>
      </w:r>
    </w:p>
    <w:p w14:paraId="1A6C7F39" w14:textId="77777777" w:rsidR="00060FEB" w:rsidRPr="00B805D0" w:rsidRDefault="00060FEB" w:rsidP="00060FEB">
      <w:pPr>
        <w:spacing w:after="200" w:line="300" w:lineRule="auto"/>
        <w:rPr>
          <w:sz w:val="24"/>
          <w:szCs w:val="24"/>
        </w:rPr>
      </w:pPr>
      <w:r w:rsidRPr="00B805D0">
        <w:rPr>
          <w:sz w:val="24"/>
          <w:szCs w:val="24"/>
        </w:rPr>
        <w:t xml:space="preserve">LUGONES, Maria. </w:t>
      </w:r>
      <w:proofErr w:type="spellStart"/>
      <w:r w:rsidRPr="00B805D0">
        <w:rPr>
          <w:b/>
          <w:bCs/>
          <w:sz w:val="24"/>
          <w:szCs w:val="24"/>
        </w:rPr>
        <w:t>Colonialidad</w:t>
      </w:r>
      <w:proofErr w:type="spellEnd"/>
      <w:r w:rsidRPr="00B805D0">
        <w:rPr>
          <w:b/>
          <w:bCs/>
          <w:sz w:val="24"/>
          <w:szCs w:val="24"/>
        </w:rPr>
        <w:t xml:space="preserve"> y género</w:t>
      </w:r>
      <w:r w:rsidRPr="00B805D0">
        <w:rPr>
          <w:sz w:val="24"/>
          <w:szCs w:val="24"/>
        </w:rPr>
        <w:t>. Tabula Rasa, n. 9, p. 73-101, 2008.</w:t>
      </w:r>
    </w:p>
    <w:p w14:paraId="4F59738A" w14:textId="77777777" w:rsidR="00060FEB" w:rsidRPr="00B805D0" w:rsidRDefault="00060FEB" w:rsidP="00060FEB">
      <w:pPr>
        <w:spacing w:after="200" w:line="300" w:lineRule="auto"/>
        <w:rPr>
          <w:sz w:val="24"/>
          <w:szCs w:val="24"/>
        </w:rPr>
      </w:pPr>
      <w:r w:rsidRPr="00B805D0">
        <w:rPr>
          <w:sz w:val="24"/>
          <w:szCs w:val="24"/>
        </w:rPr>
        <w:t>MAGALHÃES, Pedro</w:t>
      </w:r>
      <w:r w:rsidRPr="00B805D0">
        <w:rPr>
          <w:b/>
          <w:bCs/>
          <w:sz w:val="24"/>
          <w:szCs w:val="24"/>
        </w:rPr>
        <w:t>. Bases anticoloniais para o ensino histórico-crítico de química: primeiras incinerações</w:t>
      </w:r>
      <w:r w:rsidRPr="00B805D0">
        <w:rPr>
          <w:sz w:val="24"/>
          <w:szCs w:val="24"/>
        </w:rPr>
        <w:t>. 2023. Dissertação (Mestrado em Ensino, Filosofia e História das Ciências) - Faculdade de Educação, Universidade Federal da Bahia, Salvador, 2023.</w:t>
      </w:r>
    </w:p>
    <w:p w14:paraId="35B25A10" w14:textId="77777777" w:rsidR="00060FEB" w:rsidRPr="00B805D0" w:rsidRDefault="00060FEB" w:rsidP="00060FEB">
      <w:pPr>
        <w:spacing w:after="200" w:line="300" w:lineRule="auto"/>
        <w:rPr>
          <w:sz w:val="24"/>
          <w:szCs w:val="24"/>
        </w:rPr>
      </w:pPr>
      <w:r w:rsidRPr="00B805D0">
        <w:rPr>
          <w:sz w:val="24"/>
          <w:szCs w:val="24"/>
        </w:rPr>
        <w:t xml:space="preserve">MANOEL, Jones. </w:t>
      </w:r>
      <w:r w:rsidRPr="00B805D0">
        <w:rPr>
          <w:b/>
          <w:bCs/>
          <w:sz w:val="24"/>
          <w:szCs w:val="24"/>
        </w:rPr>
        <w:t>Lênin, a ruptura anticolonial do comunismo e o marxismo africano</w:t>
      </w:r>
      <w:r w:rsidRPr="00B805D0">
        <w:rPr>
          <w:sz w:val="24"/>
          <w:szCs w:val="24"/>
        </w:rPr>
        <w:t>. Germinal: Marxismo e Educação em Debate, v. 12, n. 2, p. 50-68, 2020.</w:t>
      </w:r>
    </w:p>
    <w:p w14:paraId="12BA2842" w14:textId="77777777" w:rsidR="00060FEB" w:rsidRDefault="00060FEB">
      <w:pPr>
        <w:keepLines/>
        <w:widowControl w:val="0"/>
        <w:spacing w:line="360" w:lineRule="auto"/>
        <w:rPr>
          <w:b/>
          <w:bCs/>
          <w:sz w:val="24"/>
          <w:szCs w:val="24"/>
        </w:rPr>
      </w:pPr>
    </w:p>
    <w:p w14:paraId="27EE1C2A" w14:textId="77777777" w:rsidR="00B572D3" w:rsidRDefault="00B572D3">
      <w:pPr>
        <w:keepLines/>
        <w:widowControl w:val="0"/>
        <w:spacing w:line="360" w:lineRule="auto"/>
        <w:jc w:val="both"/>
        <w:rPr>
          <w:b/>
          <w:bCs/>
          <w:sz w:val="24"/>
          <w:szCs w:val="24"/>
        </w:rPr>
      </w:pPr>
    </w:p>
    <w:p w14:paraId="68371659" w14:textId="77777777" w:rsidR="00911955" w:rsidRDefault="00911955">
      <w:pPr>
        <w:spacing w:after="200" w:line="240" w:lineRule="auto"/>
        <w:jc w:val="both"/>
        <w:rPr>
          <w:b/>
          <w:bCs/>
          <w:sz w:val="24"/>
          <w:szCs w:val="24"/>
        </w:rPr>
      </w:pPr>
    </w:p>
    <w:sectPr w:rsidR="00911955">
      <w:headerReference w:type="default" r:id="rId6"/>
      <w:footerReference w:type="default" r:id="rId7"/>
      <w:headerReference w:type="first" r:id="rId8"/>
      <w:footerReference w:type="firs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F5DF1" w14:textId="77777777" w:rsidR="00857ADB" w:rsidRDefault="00857ADB">
      <w:pPr>
        <w:spacing w:line="240" w:lineRule="auto"/>
      </w:pPr>
      <w:r>
        <w:separator/>
      </w:r>
    </w:p>
  </w:endnote>
  <w:endnote w:type="continuationSeparator" w:id="0">
    <w:p w14:paraId="5C8AE0F0" w14:textId="77777777" w:rsidR="00857ADB" w:rsidRDefault="00857A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072F519-C757-480B-8060-2B82E82D7E9D}"/>
  </w:font>
  <w:font w:name="Cambria">
    <w:panose1 w:val="02040503050406030204"/>
    <w:charset w:val="00"/>
    <w:family w:val="roman"/>
    <w:pitch w:val="variable"/>
    <w:sig w:usb0="E00006FF" w:usb1="420024FF" w:usb2="02000000" w:usb3="00000000" w:csb0="0000019F" w:csb1="00000000"/>
    <w:embedRegular r:id="rId2" w:fontKey="{C38EBF4A-E2AA-4252-B64D-613AD6F49A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BE443" w14:textId="77777777" w:rsidR="00911955" w:rsidRDefault="00000000">
    <w:pPr>
      <w:jc w:val="center"/>
    </w:pPr>
    <w:r>
      <w:fldChar w:fldCharType="begin"/>
    </w:r>
    <w:r>
      <w:instrText>PAGE</w:instrText>
    </w:r>
    <w:r>
      <w:fldChar w:fldCharType="separate"/>
    </w:r>
    <w:r w:rsidR="00367109">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D84C2" w14:textId="77777777" w:rsidR="00911955" w:rsidRDefault="0091195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17248" w14:textId="77777777" w:rsidR="00857ADB" w:rsidRDefault="00857ADB">
      <w:pPr>
        <w:spacing w:line="240" w:lineRule="auto"/>
      </w:pPr>
      <w:r>
        <w:separator/>
      </w:r>
    </w:p>
  </w:footnote>
  <w:footnote w:type="continuationSeparator" w:id="0">
    <w:p w14:paraId="3EEFF345" w14:textId="77777777" w:rsidR="00857ADB" w:rsidRDefault="00857AD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7F871" w14:textId="77777777" w:rsidR="00911955" w:rsidRDefault="00000000">
    <w:pPr>
      <w:jc w:val="right"/>
    </w:pPr>
    <w:r>
      <w:rPr>
        <w:noProof/>
      </w:rPr>
      <w:drawing>
        <wp:anchor distT="114300" distB="114300" distL="114300" distR="114300" simplePos="0" relativeHeight="251658240" behindDoc="1" locked="0" layoutInCell="1" hidden="0" allowOverlap="1" wp14:anchorId="03437038" wp14:editId="4D34BB02">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7AF70B13" wp14:editId="7270D674">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0022CB04" w14:textId="77777777" w:rsidR="00911955" w:rsidRDefault="00911955">
    <w:pPr>
      <w:jc w:val="right"/>
    </w:pPr>
  </w:p>
  <w:p w14:paraId="51D30243" w14:textId="77777777" w:rsidR="00911955" w:rsidRDefault="00911955">
    <w:pPr>
      <w:jc w:val="right"/>
    </w:pPr>
  </w:p>
  <w:p w14:paraId="270AABD2" w14:textId="77777777" w:rsidR="00911955" w:rsidRDefault="00000000">
    <w:r>
      <w:rPr>
        <w:noProof/>
      </w:rPr>
      <w:drawing>
        <wp:anchor distT="114300" distB="114300" distL="114300" distR="114300" simplePos="0" relativeHeight="251660288" behindDoc="1" locked="0" layoutInCell="1" hidden="0" allowOverlap="1" wp14:anchorId="6DE01866" wp14:editId="4914EF6D">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93858" w14:textId="77777777" w:rsidR="00911955" w:rsidRDefault="0091195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955"/>
    <w:rsid w:val="00060FEB"/>
    <w:rsid w:val="00367109"/>
    <w:rsid w:val="005A6215"/>
    <w:rsid w:val="00857ADB"/>
    <w:rsid w:val="00911955"/>
    <w:rsid w:val="00A33928"/>
    <w:rsid w:val="00B572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AB196"/>
  <w15:docId w15:val="{EA8DC6DE-C074-4D78-8541-E79FEFFBE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1108</Words>
  <Characters>5987</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SINE</dc:creator>
  <cp:lastModifiedBy>SINE</cp:lastModifiedBy>
  <cp:revision>2</cp:revision>
  <dcterms:created xsi:type="dcterms:W3CDTF">2026-08-04T20:27:00Z</dcterms:created>
  <dcterms:modified xsi:type="dcterms:W3CDTF">2026-08-04T20:27:00Z</dcterms:modified>
</cp:coreProperties>
</file>