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1754" w14:textId="0AAC4356" w:rsidR="00B23FE5" w:rsidRDefault="00654F3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EDUCAÇÃO ANTIRRACISTA NA EDUCAÇÃO BÁSICA: EDUCANDO PARA AS RELAÇÕES ÉTNICO RACIAIS</w:t>
      </w:r>
    </w:p>
    <w:p w14:paraId="760036F2" w14:textId="4AC30546" w:rsidR="00B23FE5" w:rsidRDefault="00B23FE5" w:rsidP="00853DAC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0148CEF0" w14:textId="77777777" w:rsidR="00B23FE5" w:rsidRDefault="00B23FE5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1378BC0" w14:textId="4E4F9DF4" w:rsidR="00B23FE5" w:rsidRDefault="00B23FE5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2AF9384B" w14:textId="44427F6D" w:rsidR="00B23FE5" w:rsidRPr="00853DAC" w:rsidRDefault="00853DAC" w:rsidP="00853DAC">
      <w:pPr>
        <w:jc w:val="center"/>
        <w:rPr>
          <w:sz w:val="24"/>
          <w:szCs w:val="24"/>
        </w:rPr>
      </w:pPr>
      <w:r w:rsidRPr="00853DAC">
        <w:rPr>
          <w:b/>
          <w:bCs/>
          <w:sz w:val="24"/>
          <w:szCs w:val="24"/>
        </w:rPr>
        <w:t xml:space="preserve">TERRITÓRIOS EM NARRATIVA: </w:t>
      </w:r>
      <w:r w:rsidRPr="00853DAC">
        <w:rPr>
          <w:b/>
          <w:bCs/>
          <w:sz w:val="24"/>
          <w:szCs w:val="24"/>
        </w:rPr>
        <w:t>redes de afetos</w:t>
      </w:r>
      <w:r w:rsidRPr="00853DAC">
        <w:rPr>
          <w:b/>
          <w:bCs/>
          <w:sz w:val="24"/>
          <w:szCs w:val="24"/>
        </w:rPr>
        <w:t xml:space="preserve"> </w:t>
      </w:r>
      <w:r w:rsidRPr="00853DAC">
        <w:rPr>
          <w:b/>
          <w:bCs/>
          <w:sz w:val="24"/>
          <w:szCs w:val="24"/>
        </w:rPr>
        <w:t>e criações de mundos na docência em contextos periféricos</w:t>
      </w:r>
    </w:p>
    <w:p w14:paraId="35F157A2" w14:textId="77777777" w:rsidR="00B23FE5" w:rsidRPr="00853DAC" w:rsidRDefault="00B23FE5" w:rsidP="00853DAC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06BBB926" w14:textId="77777777" w:rsidR="00B23FE5" w:rsidRDefault="00B23FE5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ABA8B5E" w14:textId="7910187E" w:rsidR="00B23FE5" w:rsidRDefault="00853DA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Tânia Cristina Rosa dos Santos, UERJ, psi.taniacristina@gmail</w:t>
      </w:r>
      <w:r w:rsidR="0097020B">
        <w:rPr>
          <w:sz w:val="24"/>
          <w:szCs w:val="24"/>
        </w:rPr>
        <w:t>.com.br</w:t>
      </w:r>
    </w:p>
    <w:p w14:paraId="11818791" w14:textId="2D840D90" w:rsidR="00B23FE5" w:rsidRDefault="00853DA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Juliana</w:t>
      </w:r>
      <w:r w:rsidR="000A5EDB">
        <w:rPr>
          <w:sz w:val="24"/>
          <w:szCs w:val="24"/>
        </w:rPr>
        <w:t xml:space="preserve"> do Espirito Santo</w:t>
      </w:r>
      <w:r>
        <w:rPr>
          <w:sz w:val="24"/>
          <w:szCs w:val="24"/>
        </w:rPr>
        <w:t xml:space="preserve"> Camilo</w:t>
      </w:r>
      <w:r w:rsidR="00000000">
        <w:rPr>
          <w:sz w:val="24"/>
          <w:szCs w:val="24"/>
        </w:rPr>
        <w:t xml:space="preserve">, </w:t>
      </w:r>
      <w:r w:rsidR="0097020B">
        <w:rPr>
          <w:sz w:val="24"/>
          <w:szCs w:val="24"/>
        </w:rPr>
        <w:t>UERJ</w:t>
      </w:r>
      <w:r w:rsidR="00000000">
        <w:rPr>
          <w:sz w:val="24"/>
          <w:szCs w:val="24"/>
        </w:rPr>
        <w:t xml:space="preserve">, </w:t>
      </w:r>
      <w:r w:rsidR="0097020B">
        <w:rPr>
          <w:sz w:val="24"/>
          <w:szCs w:val="24"/>
        </w:rPr>
        <w:t>julianacamilloes@yahoo.com.br</w:t>
      </w:r>
    </w:p>
    <w:p w14:paraId="5CB7D10C" w14:textId="77777777" w:rsidR="00B23FE5" w:rsidRDefault="00B23FE5">
      <w:pPr>
        <w:keepLines/>
        <w:widowControl w:val="0"/>
        <w:spacing w:line="240" w:lineRule="auto"/>
        <w:rPr>
          <w:sz w:val="24"/>
          <w:szCs w:val="24"/>
        </w:rPr>
      </w:pPr>
    </w:p>
    <w:p w14:paraId="12DBA748" w14:textId="77777777" w:rsidR="00B23FE5" w:rsidRDefault="00B23FE5">
      <w:pPr>
        <w:keepLines/>
        <w:widowControl w:val="0"/>
        <w:spacing w:line="240" w:lineRule="auto"/>
        <w:rPr>
          <w:sz w:val="24"/>
          <w:szCs w:val="24"/>
        </w:rPr>
      </w:pPr>
    </w:p>
    <w:p w14:paraId="0FAD3A8B" w14:textId="77777777" w:rsidR="00B23FE5" w:rsidRDefault="00B23FE5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1D80425B" w14:textId="1A700724" w:rsidR="00853DAC" w:rsidRPr="000A5EDB" w:rsidRDefault="00000000" w:rsidP="000A5EDB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49AEB6A3" w14:textId="77777777" w:rsidR="00853DAC" w:rsidRDefault="00853DAC" w:rsidP="00853DAC">
      <w:pPr>
        <w:jc w:val="both"/>
        <w:rPr>
          <w:rFonts w:ascii="Times New Roman" w:eastAsia="Times New Roman" w:hAnsi="Times New Roman" w:cs="Times New Roman"/>
        </w:rPr>
      </w:pPr>
    </w:p>
    <w:p w14:paraId="6F01038B" w14:textId="77777777" w:rsidR="00FF2018" w:rsidRPr="008D7C68" w:rsidRDefault="00853DAC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="00FF2018" w:rsidRPr="008D7C68">
        <w:rPr>
          <w:rFonts w:eastAsia="Times New Roman"/>
          <w:sz w:val="24"/>
          <w:szCs w:val="24"/>
        </w:rPr>
        <w:t>O presente texto articula duas pesquisas de mestrado, uma já defendida e outra em andamento, que se sustentam na força da narrativa para enunciar vivências do cotidiano escolar com crianças. Na proposição de construir práticas que dialoguem com os saberes e afetos produzidos nos territórios em que estão inseridas, compreendemos esses territórios não apenas como espaços geográficos delimitados e estáticos, mas como campos que pulsam vida, onde se disputam narrativas, constroem-se histórias e identidades.</w:t>
      </w:r>
    </w:p>
    <w:p w14:paraId="14F1E5B5" w14:textId="77777777" w:rsidR="00FF2018" w:rsidRPr="008D7C68" w:rsidRDefault="00FF2018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>O trabalho inscreve-se no campo das pesquisas qualitativas, assumindo a perspectiva narrativa como modo de produzir conhecimento. Atuando na lógica de uma pesquisa-ação, inserimo-nos no cotidiano do campo de pesquisa e, mais que descrever realidades, interessa-nos acompanhar os modos como as experiências são vividas, narradas e compartilhadas, tomando a escrita como espaço de elaboração e criação. Distanciamo-nos de uma perspectiva de neutralidade, compreendendo a pesquisa como prática implicada, atravessada por afetos, relações e experiências. Assim, a metodologia se constrói no próprio percurso, em diálogo com o vivido, permitindo que narrativas e territórios se revelem como dimensões importantes na produção de conhecimento.</w:t>
      </w:r>
    </w:p>
    <w:p w14:paraId="1F060E1F" w14:textId="77777777" w:rsidR="00FF2018" w:rsidRDefault="00FF2018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 xml:space="preserve">As pesquisas desenvolvem-se em contextos periféricos, entendendo tais espaços como lugares de disputa de narrativas. A primeira pesquisa, defendida em outubro de 2025, envolve memórias e narrativas elaboradas na infância, situando-se entre as memórias da infância da pesquisadora, narradas por seus familiares, e o </w:t>
      </w:r>
      <w:r w:rsidRPr="008D7C68">
        <w:rPr>
          <w:rFonts w:eastAsia="Times New Roman"/>
          <w:sz w:val="24"/>
          <w:szCs w:val="24"/>
        </w:rPr>
        <w:lastRenderedPageBreak/>
        <w:t>lugar vivido como adulta e professora de crianças na Escola Municipal Pedro Antônio, em Vila Pauline, Belford Roxo-RJ. A pesquisa buscou narrar duas perspectivas: o olhar enquanto criança periférica e o olhar da professora de crianças da periferia, acompanhando as experiências narradas pelas infâncias que habitam esse território. Ao articular memórias e prática docente, buscou compreender como a experiência vivida, quando compartilhada, torna-se fonte de aprendizagem, invenção de mundos e construção de devires.</w:t>
      </w:r>
    </w:p>
    <w:p w14:paraId="74FBBB02" w14:textId="527F6FAA" w:rsidR="009E070E" w:rsidRPr="008D7C68" w:rsidRDefault="009E070E" w:rsidP="00C80B0E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>Partindo da ideia de que narrar é também aprender e ensinar,</w:t>
      </w:r>
      <w:r w:rsidR="00A406AC">
        <w:rPr>
          <w:rFonts w:eastAsia="Times New Roman"/>
          <w:sz w:val="24"/>
          <w:szCs w:val="24"/>
        </w:rPr>
        <w:t xml:space="preserve"> a </w:t>
      </w:r>
      <w:r w:rsidRPr="008D7C68">
        <w:rPr>
          <w:rFonts w:eastAsia="Times New Roman"/>
          <w:sz w:val="24"/>
          <w:szCs w:val="24"/>
        </w:rPr>
        <w:t>pesquisas valoriza as trocas de saberes produzidas nos encontros cotidianos, nas histórias narradas e nas memórias tecidas coletivamente. As intenções deste trabalho narrativo foram inspiradas na mezinhagem de Dona Raimunda (2023), da periferia da Baixada Maranhense, para quem a experiência vivida e narrada constitui potência de aprendizagem: aprender com o mundo e sobre o mundo a partir das trocas que se costuram nos territórios periféricos. Como afirma Raimunda (2023, p. 37), “o mundo é um aprendizado. O mundo é um professor que nunca te dá a derradeira lição”.</w:t>
      </w:r>
    </w:p>
    <w:p w14:paraId="46588C09" w14:textId="77777777" w:rsidR="00FF2018" w:rsidRPr="008D7C68" w:rsidRDefault="00FF2018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>A segunda pesquisa, ainda em andamento no mesmo programa (PPGECC), compreende a educação infantil como espaço potente para experiências sociais e aprendizagens significativas. Considerando que a criança integra grupos sociais, raciais e de gênero diversos, destaca-se a importância de metodologias que respeitem e valorizem as existências que coabitam os ambientes periféricos. A pesquisa nasceu do desejo de articular ações educacionais antirracistas em um espaço de educação infantil nos subúrbios cariocas da Leopoldina, particularmente no bairro da Penha-RJ, território em que a pesquisadora atua como professora das infâncias.</w:t>
      </w:r>
    </w:p>
    <w:p w14:paraId="4E0107C4" w14:textId="77777777" w:rsidR="00FF2018" w:rsidRPr="008D7C68" w:rsidRDefault="00FF2018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 xml:space="preserve">O estudo propõe uma visão etnográfica do bairro da Penha, articulando educação patrimonial e ensino das relações étnico-raciais, com o objetivo de dar visibilidade à construção histórica dos povos negros e indígenas no território e valorizar esse processo junto às crianças e seus familiares. Trata-se de um convite à comunidade escolar para olhar além dos muros da unidade, construindo senso de pertencimento e identidade e iniciando a implementação de uma Educação Patrimonial Antirracista. A pesquisa volta-se à valorização e ao (re)conhecimento do patrimônio material, imaterial e afetivo e à difusão da cultura popular do território, </w:t>
      </w:r>
      <w:r w:rsidRPr="008D7C68">
        <w:rPr>
          <w:rFonts w:eastAsia="Times New Roman"/>
          <w:sz w:val="24"/>
          <w:szCs w:val="24"/>
        </w:rPr>
        <w:lastRenderedPageBreak/>
        <w:t>buscando investigar outros modos de promover identidade, empoderamento e pertencimento local das crianças, com foco nas contribuições dos povos indígenas e negros para a construção histórica do bairro e para a efetivação das Leis Federais nº 10.639/03 e nº 11.645/08.</w:t>
      </w:r>
    </w:p>
    <w:p w14:paraId="1893C385" w14:textId="77777777" w:rsidR="00FF2018" w:rsidRPr="008D7C68" w:rsidRDefault="00FF2018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>Nesse contexto, pensar as diferenças constitui parte estruturante de uma educação comprometida com a construção de uma sociedade democrática. As práticas antirracistas são fundamentais para a construção da identidade da criança e para o reconhecimento de uma sociedade multicultural, constituída por diversas narrativas. Tal como aponta bell hooks (2013, p. 63), o multiculturalismo convoca educadores a reconhecer as fronteiras que moldaram os modos de partilhar o conhecimento e a própria cumplicidade na perpetuação de preconceitos. O fazer do educador, portanto, constitui ato ético e político, atravessado pelo reconhecimento da pluralidade do mundo.</w:t>
      </w:r>
    </w:p>
    <w:p w14:paraId="77C08C92" w14:textId="77777777" w:rsidR="00FF2018" w:rsidRPr="008D7C68" w:rsidRDefault="00FF2018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>As duas pesquisas têm no centro a discussão sobre perspectivas da periferia. Distanciando-nos da associação recorrente entre periferia, pobreza, distância e vulnerabilidade, compreendemos esses territórios também a partir de seus modos de vida, saberes e formas de organização. D’Andrea (2020), ao discutir a consciência periférica, destaca o pertencimento local e as práticas e códigos compartilhados na lógica territorial. O lugar onde se manifestam pobreza e violência é também aquele em que se produzem solidariedade, generosidade e criatividade nos modos de inventar e expressar a vida. Para pensar nossas periferias, portanto, é necessário considerar experiências individuais e coletivas, evitando categorizar seus sujeitos por conceitos que silenciem suas vivências.</w:t>
      </w:r>
    </w:p>
    <w:p w14:paraId="30DDB347" w14:textId="77777777" w:rsidR="00FF2018" w:rsidRPr="008D7C68" w:rsidRDefault="00FF2018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>Em nossas pesquisas, as crianças emergem como protagonistas de narrativas capazes de deslocar olhares cristalizados sobre a periferia, afirmando-a como espaço de potência, invenção e vida. Histórias, gestos, brincadeiras, memórias e relações produzem sentidos e redes de afeto, revelando um território pulsante.</w:t>
      </w:r>
    </w:p>
    <w:p w14:paraId="0557A4D7" w14:textId="77777777" w:rsidR="00FF2018" w:rsidRPr="008D7C68" w:rsidRDefault="00FF2018" w:rsidP="008D7C68">
      <w:pPr>
        <w:spacing w:line="360" w:lineRule="auto"/>
        <w:ind w:firstLine="720"/>
        <w:jc w:val="both"/>
        <w:rPr>
          <w:rFonts w:eastAsia="Times New Roman"/>
          <w:sz w:val="24"/>
          <w:szCs w:val="24"/>
        </w:rPr>
      </w:pPr>
      <w:r w:rsidRPr="008D7C68">
        <w:rPr>
          <w:rFonts w:eastAsia="Times New Roman"/>
          <w:sz w:val="24"/>
          <w:szCs w:val="24"/>
        </w:rPr>
        <w:t xml:space="preserve">Assim, nas periferias, onde a vida insiste em florescer apesar das violências, a narração torna-se gesto político e existencial. As memórias e narrativas que atravessam as pesquisas realizadas na Creche Municipal Tempo de Aprender, no Morro da Caixa d’Água, Complexo da Penha-RJ, e na Escola Municipal Pedro Antônio, Vila Pauline, Belford Roxo-RJ, tensionam o tempo linear e convocam as </w:t>
      </w:r>
      <w:r w:rsidRPr="008D7C68">
        <w:rPr>
          <w:rFonts w:eastAsia="Times New Roman"/>
          <w:sz w:val="24"/>
          <w:szCs w:val="24"/>
        </w:rPr>
        <w:lastRenderedPageBreak/>
        <w:t>infâncias como dimensão que insiste, retorna e reinventa o presente. Território e narrativa entrelaçam-se, desse modo, como modos de habitar e significar o mundo e, quem sabe, criar mundos outros.</w:t>
      </w:r>
    </w:p>
    <w:p w14:paraId="7977601E" w14:textId="0E5B86A1" w:rsidR="00853DAC" w:rsidRPr="000A5EDB" w:rsidRDefault="00853DAC" w:rsidP="00291B46">
      <w:pPr>
        <w:jc w:val="both"/>
        <w:rPr>
          <w:color w:val="000000"/>
          <w:sz w:val="24"/>
          <w:szCs w:val="24"/>
        </w:rPr>
      </w:pPr>
      <w:r w:rsidRPr="000A5EDB">
        <w:rPr>
          <w:sz w:val="24"/>
          <w:szCs w:val="24"/>
        </w:rPr>
        <w:t xml:space="preserve"> </w:t>
      </w:r>
    </w:p>
    <w:p w14:paraId="0C5774DF" w14:textId="77777777" w:rsidR="00B23FE5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52CEFA4F" w14:textId="3DCB37ED" w:rsidR="00853DAC" w:rsidRPr="00853DAC" w:rsidRDefault="00853DAC" w:rsidP="00853DAC">
      <w:pPr>
        <w:jc w:val="both"/>
        <w:rPr>
          <w:sz w:val="24"/>
          <w:szCs w:val="24"/>
        </w:rPr>
      </w:pPr>
      <w:r w:rsidRPr="00853DAC">
        <w:rPr>
          <w:sz w:val="24"/>
          <w:szCs w:val="24"/>
        </w:rPr>
        <w:t>Infâncias</w:t>
      </w:r>
      <w:r w:rsidRPr="00853DAC">
        <w:rPr>
          <w:sz w:val="24"/>
          <w:szCs w:val="24"/>
        </w:rPr>
        <w:t>;</w:t>
      </w:r>
      <w:r w:rsidRPr="00853DAC">
        <w:rPr>
          <w:sz w:val="24"/>
          <w:szCs w:val="24"/>
        </w:rPr>
        <w:t xml:space="preserve"> território</w:t>
      </w:r>
      <w:r w:rsidRPr="00853DAC">
        <w:rPr>
          <w:sz w:val="24"/>
          <w:szCs w:val="24"/>
        </w:rPr>
        <w:t>s;</w:t>
      </w:r>
      <w:r w:rsidRPr="00853DAC">
        <w:rPr>
          <w:sz w:val="24"/>
          <w:szCs w:val="24"/>
        </w:rPr>
        <w:t xml:space="preserve"> narrativas</w:t>
      </w:r>
      <w:r w:rsidRPr="00853DAC">
        <w:rPr>
          <w:sz w:val="24"/>
          <w:szCs w:val="24"/>
        </w:rPr>
        <w:t>;</w:t>
      </w:r>
      <w:r w:rsidRPr="00853DAC">
        <w:rPr>
          <w:sz w:val="24"/>
          <w:szCs w:val="24"/>
        </w:rPr>
        <w:t xml:space="preserve"> docência.</w:t>
      </w:r>
    </w:p>
    <w:p w14:paraId="21EFF815" w14:textId="77777777" w:rsidR="00B23FE5" w:rsidRDefault="00B23FE5">
      <w:pPr>
        <w:keepLines/>
        <w:widowControl w:val="0"/>
        <w:spacing w:line="240" w:lineRule="auto"/>
        <w:rPr>
          <w:sz w:val="24"/>
          <w:szCs w:val="24"/>
        </w:rPr>
      </w:pPr>
    </w:p>
    <w:p w14:paraId="0E0D0557" w14:textId="77777777" w:rsidR="00B23FE5" w:rsidRDefault="00B23FE5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4928790" w14:textId="77777777" w:rsidR="00B23FE5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11CABEF0" w14:textId="77777777" w:rsidR="00853DAC" w:rsidRDefault="00853DAC">
      <w:pPr>
        <w:keepLines/>
        <w:widowControl w:val="0"/>
        <w:spacing w:line="240" w:lineRule="auto"/>
        <w:rPr>
          <w:sz w:val="24"/>
          <w:szCs w:val="24"/>
        </w:rPr>
      </w:pPr>
    </w:p>
    <w:p w14:paraId="6BFDF129" w14:textId="77777777" w:rsidR="00853DAC" w:rsidRPr="00853DAC" w:rsidRDefault="00853DAC" w:rsidP="00853DAC">
      <w:pPr>
        <w:jc w:val="both"/>
        <w:rPr>
          <w:sz w:val="24"/>
          <w:szCs w:val="24"/>
        </w:rPr>
      </w:pPr>
      <w:r w:rsidRPr="00853DAC">
        <w:rPr>
          <w:color w:val="000000"/>
          <w:sz w:val="24"/>
          <w:szCs w:val="24"/>
        </w:rPr>
        <w:t>BRASIL. Lei no 10.639, de 9 de janeiro de 2003. Altera a Lei no 9.394, de 20 de dezembro de 1996, que estabelece as diretrizes e bases da educação nacional, para incluir no currículo oficial da Rede de Ensino a obrigatoriedade da temática ‘História e Cultura Afro-Brasileira’, e dá outras providências. Diário Oficial da União, Brasília, 10 jan. 2003. Disponível:&lt;http://www.planalto.gov.br/ccivil_03/leis/2003/l10.639.htm&gt;.</w:t>
      </w:r>
    </w:p>
    <w:p w14:paraId="0819AE5B" w14:textId="77777777" w:rsidR="00853DAC" w:rsidRPr="00853DAC" w:rsidRDefault="00853DAC" w:rsidP="00853DAC">
      <w:pPr>
        <w:jc w:val="both"/>
        <w:rPr>
          <w:sz w:val="24"/>
          <w:szCs w:val="24"/>
        </w:rPr>
      </w:pPr>
    </w:p>
    <w:p w14:paraId="5C42814B" w14:textId="77777777" w:rsidR="00853DAC" w:rsidRPr="00853DAC" w:rsidRDefault="00853DAC" w:rsidP="00853DAC">
      <w:pPr>
        <w:jc w:val="both"/>
        <w:rPr>
          <w:sz w:val="24"/>
          <w:szCs w:val="24"/>
        </w:rPr>
      </w:pPr>
      <w:r w:rsidRPr="00853DAC">
        <w:rPr>
          <w:sz w:val="24"/>
          <w:szCs w:val="24"/>
        </w:rPr>
        <w:t>BRASIL</w:t>
      </w:r>
      <w:r w:rsidRPr="00853DAC">
        <w:rPr>
          <w:bCs/>
          <w:sz w:val="24"/>
          <w:szCs w:val="24"/>
        </w:rPr>
        <w:t>. Diretrizes Curriculares Nacionais para a Educação das Relações Étnico-raciais e para o ensino de História e Cultura Africana e Afro-brasileira.</w:t>
      </w:r>
      <w:r w:rsidRPr="00853DAC">
        <w:rPr>
          <w:sz w:val="24"/>
          <w:szCs w:val="24"/>
        </w:rPr>
        <w:t xml:space="preserve"> Brasília: MEC, 2004. Disponível:&lt;https://www.gov.br/inep/ptbr/centraisdeconteudo/acervolinhaeditorial/publicacoesdiversas/temas-interdisciplinares/diretrizes-curriculares-nacionais-paraeducacao-das-relacoes-etnico-raciais-e-para-o-ensino-de-historia-e-cultura-afro-brasileirafricana&gt;. </w:t>
      </w:r>
    </w:p>
    <w:p w14:paraId="7E6708D6" w14:textId="77777777" w:rsidR="00853DAC" w:rsidRPr="00853DAC" w:rsidRDefault="00853DAC" w:rsidP="00853DAC">
      <w:pPr>
        <w:jc w:val="both"/>
        <w:rPr>
          <w:sz w:val="24"/>
          <w:szCs w:val="24"/>
        </w:rPr>
      </w:pPr>
    </w:p>
    <w:p w14:paraId="51CAFDD7" w14:textId="77777777" w:rsidR="00853DAC" w:rsidRPr="00853DAC" w:rsidRDefault="00853DAC" w:rsidP="00853DAC">
      <w:pPr>
        <w:jc w:val="both"/>
        <w:rPr>
          <w:sz w:val="24"/>
          <w:szCs w:val="24"/>
        </w:rPr>
      </w:pPr>
      <w:r w:rsidRPr="00853DAC">
        <w:rPr>
          <w:sz w:val="24"/>
          <w:szCs w:val="24"/>
        </w:rPr>
        <w:t>D'ANDREA, Tiaraju. Contribuições para a definição dos conceitos periferia e sujeitos e sujeitas periféricos. São Paulo: Dossiê Subjetividades Periféricas, v. 39, n. 1, p. 19-36, 2020.</w:t>
      </w:r>
    </w:p>
    <w:p w14:paraId="737903EF" w14:textId="77777777" w:rsidR="00853DAC" w:rsidRPr="00853DAC" w:rsidRDefault="00853DAC" w:rsidP="00853DAC">
      <w:pPr>
        <w:jc w:val="both"/>
        <w:rPr>
          <w:sz w:val="24"/>
          <w:szCs w:val="24"/>
        </w:rPr>
      </w:pPr>
    </w:p>
    <w:p w14:paraId="0498D812" w14:textId="77777777" w:rsidR="00853DAC" w:rsidRPr="00853DAC" w:rsidRDefault="00853DAC" w:rsidP="00853DAC">
      <w:pPr>
        <w:jc w:val="both"/>
        <w:rPr>
          <w:sz w:val="24"/>
          <w:szCs w:val="24"/>
        </w:rPr>
      </w:pPr>
      <w:r w:rsidRPr="00853DAC">
        <w:rPr>
          <w:sz w:val="24"/>
          <w:szCs w:val="24"/>
        </w:rPr>
        <w:t xml:space="preserve">hooks, bel. </w:t>
      </w:r>
      <w:r w:rsidRPr="00853DAC">
        <w:rPr>
          <w:bCs/>
          <w:i/>
          <w:iCs/>
          <w:sz w:val="24"/>
          <w:szCs w:val="24"/>
        </w:rPr>
        <w:t>Ensinando a transgredir:</w:t>
      </w:r>
      <w:r w:rsidRPr="00853DAC">
        <w:rPr>
          <w:i/>
          <w:iCs/>
          <w:sz w:val="24"/>
          <w:szCs w:val="24"/>
        </w:rPr>
        <w:t xml:space="preserve"> A educação como prática da liberdade. </w:t>
      </w:r>
      <w:r w:rsidRPr="00853DAC">
        <w:rPr>
          <w:sz w:val="24"/>
          <w:szCs w:val="24"/>
        </w:rPr>
        <w:t>São Paulo:  WMF Martins Fontes, 2013.</w:t>
      </w:r>
    </w:p>
    <w:p w14:paraId="76A5E1E8" w14:textId="77777777" w:rsidR="00853DAC" w:rsidRPr="00853DAC" w:rsidRDefault="00853DAC" w:rsidP="00853DAC">
      <w:pPr>
        <w:jc w:val="both"/>
        <w:rPr>
          <w:sz w:val="24"/>
          <w:szCs w:val="24"/>
        </w:rPr>
      </w:pPr>
    </w:p>
    <w:p w14:paraId="54D88A66" w14:textId="77777777" w:rsidR="00853DAC" w:rsidRPr="00853DAC" w:rsidRDefault="00853DAC" w:rsidP="00853DAC">
      <w:pPr>
        <w:jc w:val="both"/>
        <w:rPr>
          <w:sz w:val="24"/>
          <w:szCs w:val="24"/>
        </w:rPr>
      </w:pPr>
      <w:r w:rsidRPr="00853DAC">
        <w:rPr>
          <w:sz w:val="24"/>
          <w:szCs w:val="24"/>
        </w:rPr>
        <w:t>SILVA, Raimunda Gomes da. Cartilha de Mezinhagem. São Paulo: N-1 edições, 2023.</w:t>
      </w:r>
    </w:p>
    <w:p w14:paraId="1242547B" w14:textId="77777777" w:rsidR="00853DAC" w:rsidRPr="00853DAC" w:rsidRDefault="00853DAC" w:rsidP="00853DAC">
      <w:pPr>
        <w:jc w:val="both"/>
        <w:rPr>
          <w:sz w:val="24"/>
          <w:szCs w:val="24"/>
        </w:rPr>
      </w:pPr>
    </w:p>
    <w:p w14:paraId="2467788E" w14:textId="1B7B8083" w:rsidR="00B23FE5" w:rsidRPr="00853DAC" w:rsidRDefault="00B23FE5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0889FE0" w14:textId="77777777" w:rsidR="00B23FE5" w:rsidRDefault="00B23FE5"/>
    <w:p w14:paraId="046A2860" w14:textId="77777777" w:rsidR="00B23FE5" w:rsidRDefault="00B23FE5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B23FE5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A0A4F" w14:textId="77777777" w:rsidR="00FC4AFC" w:rsidRDefault="00FC4AFC">
      <w:pPr>
        <w:spacing w:line="240" w:lineRule="auto"/>
      </w:pPr>
      <w:r>
        <w:separator/>
      </w:r>
    </w:p>
  </w:endnote>
  <w:endnote w:type="continuationSeparator" w:id="0">
    <w:p w14:paraId="07CFED9E" w14:textId="77777777" w:rsidR="00FC4AFC" w:rsidRDefault="00FC4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5572D2-5651-4598-BC2A-C27B594ABA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F6F8A0-8ACC-4A7D-8197-7CB8611F7F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1D3CD" w14:textId="77777777" w:rsidR="00FC4AFC" w:rsidRDefault="00FC4AFC">
      <w:pPr>
        <w:spacing w:line="240" w:lineRule="auto"/>
      </w:pPr>
      <w:r>
        <w:separator/>
      </w:r>
    </w:p>
  </w:footnote>
  <w:footnote w:type="continuationSeparator" w:id="0">
    <w:p w14:paraId="5D1DBABD" w14:textId="77777777" w:rsidR="00FC4AFC" w:rsidRDefault="00FC4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DA36" w14:textId="77777777" w:rsidR="00B23FE5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7CCBDD2" wp14:editId="349B1BDF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D891A25" wp14:editId="4FBCD90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DD0843" w14:textId="77777777" w:rsidR="00B23FE5" w:rsidRDefault="00B23FE5">
    <w:pPr>
      <w:jc w:val="right"/>
    </w:pPr>
  </w:p>
  <w:p w14:paraId="7492A01E" w14:textId="77777777" w:rsidR="00B23FE5" w:rsidRDefault="00B23FE5">
    <w:pPr>
      <w:jc w:val="right"/>
    </w:pPr>
  </w:p>
  <w:p w14:paraId="38159E6E" w14:textId="77777777" w:rsidR="00B23FE5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ADDD3DB" wp14:editId="4B153FE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FE5"/>
    <w:rsid w:val="000A5EDB"/>
    <w:rsid w:val="00277583"/>
    <w:rsid w:val="00291B46"/>
    <w:rsid w:val="002E108C"/>
    <w:rsid w:val="003030FF"/>
    <w:rsid w:val="00355CEC"/>
    <w:rsid w:val="004205DE"/>
    <w:rsid w:val="004A2861"/>
    <w:rsid w:val="0058130E"/>
    <w:rsid w:val="00601A77"/>
    <w:rsid w:val="00636E46"/>
    <w:rsid w:val="00654F37"/>
    <w:rsid w:val="006627F9"/>
    <w:rsid w:val="00826D49"/>
    <w:rsid w:val="00853DAC"/>
    <w:rsid w:val="008A3658"/>
    <w:rsid w:val="008C7D8B"/>
    <w:rsid w:val="008D7C68"/>
    <w:rsid w:val="0094319E"/>
    <w:rsid w:val="0097020B"/>
    <w:rsid w:val="009E070E"/>
    <w:rsid w:val="00A406AC"/>
    <w:rsid w:val="00A433F4"/>
    <w:rsid w:val="00AB7BEB"/>
    <w:rsid w:val="00B23FE5"/>
    <w:rsid w:val="00B50D97"/>
    <w:rsid w:val="00B572AE"/>
    <w:rsid w:val="00BE17B1"/>
    <w:rsid w:val="00BF7B9A"/>
    <w:rsid w:val="00C3736A"/>
    <w:rsid w:val="00C80B0E"/>
    <w:rsid w:val="00CA55C9"/>
    <w:rsid w:val="00D334D5"/>
    <w:rsid w:val="00F90C48"/>
    <w:rsid w:val="00FC4AFC"/>
    <w:rsid w:val="00FF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161F8"/>
  <w15:docId w15:val="{9B21C84E-8E29-4618-8205-0D48CA79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BNTCORPO">
    <w:name w:val="ABNT CORPO"/>
    <w:basedOn w:val="Normal"/>
    <w:link w:val="ABNTCORPOChar"/>
    <w:qFormat/>
    <w:rsid w:val="00853DAC"/>
    <w:pPr>
      <w:spacing w:line="360" w:lineRule="auto"/>
      <w:ind w:firstLine="709"/>
      <w:jc w:val="both"/>
    </w:pPr>
    <w:rPr>
      <w:rFonts w:asciiTheme="majorHAnsi" w:eastAsia="Times New Roman" w:hAnsiTheme="majorHAnsi"/>
      <w:sz w:val="24"/>
      <w:szCs w:val="24"/>
    </w:rPr>
  </w:style>
  <w:style w:type="character" w:customStyle="1" w:styleId="ABNTCORPOChar">
    <w:name w:val="ABNT CORPO Char"/>
    <w:basedOn w:val="Fontepargpadro"/>
    <w:link w:val="ABNTCORPO"/>
    <w:rsid w:val="00853DAC"/>
    <w:rPr>
      <w:rFonts w:asciiTheme="majorHAnsi" w:eastAsia="Times New Roman" w:hAnsiTheme="majorHAnsi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97020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020B"/>
  </w:style>
  <w:style w:type="paragraph" w:styleId="Rodap">
    <w:name w:val="footer"/>
    <w:basedOn w:val="Normal"/>
    <w:link w:val="RodapChar"/>
    <w:uiPriority w:val="99"/>
    <w:unhideWhenUsed/>
    <w:rsid w:val="0097020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0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1131</Words>
  <Characters>7085</Characters>
  <Application>Microsoft Office Word</Application>
  <DocSecurity>0</DocSecurity>
  <Lines>137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Tânia Cristina</cp:lastModifiedBy>
  <cp:revision>30</cp:revision>
  <dcterms:created xsi:type="dcterms:W3CDTF">2026-08-08T02:05:00Z</dcterms:created>
  <dcterms:modified xsi:type="dcterms:W3CDTF">2026-08-08T02:51:00Z</dcterms:modified>
</cp:coreProperties>
</file>