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Lines/>
        <w:widowControl w:val="false"/>
        <w:spacing w:lineRule="auto" w:line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Conversatório 4 - Educação e saberes do campo, das águas e das florestas: imaginar-construir a escola a partir do popular e do próprio </w:t>
      </w:r>
    </w:p>
    <w:p>
      <w:pPr>
        <w:pStyle w:val="normal1"/>
        <w:keepLines/>
        <w:widowControl w:val="false"/>
        <w:spacing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Expedição pedagógica: educação ambiental, território e pertencimento na formação de sujeitos do campo </w:t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end"/>
        <w:rPr>
          <w:sz w:val="24"/>
          <w:szCs w:val="24"/>
        </w:rPr>
      </w:pPr>
      <w:r>
        <w:rPr>
          <w:sz w:val="24"/>
          <w:szCs w:val="24"/>
        </w:rPr>
        <w:t>Jéssica de Medeiros Gondim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Federal Rural do Rio de Janeiro</w:t>
      </w:r>
      <w:r>
        <w:rPr>
          <w:sz w:val="24"/>
          <w:szCs w:val="24"/>
        </w:rPr>
        <w:t xml:space="preserve">, </w:t>
      </w:r>
      <w:hyperlink r:id="rId2">
        <w:r>
          <w:rPr>
            <w:rStyle w:val="Hyperlink"/>
            <w:sz w:val="24"/>
            <w:szCs w:val="24"/>
          </w:rPr>
          <w:t>jessicamgondim@gmail</w:t>
        </w:r>
      </w:hyperlink>
    </w:p>
    <w:p>
      <w:pPr>
        <w:pStyle w:val="normal1"/>
        <w:widowControl w:val="false"/>
        <w:spacing w:lineRule="auto" w:line="240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spacing w:lineRule="auto" w:line="240"/>
        <w:jc w:val="end"/>
        <w:rPr>
          <w:sz w:val="24"/>
          <w:szCs w:val="24"/>
        </w:rPr>
      </w:pPr>
      <w:r>
        <w:rPr>
          <w:sz w:val="24"/>
          <w:szCs w:val="24"/>
        </w:rPr>
        <w:t xml:space="preserve">Mauro Guimarães, </w:t>
      </w:r>
      <w:r>
        <w:rPr>
          <w:sz w:val="24"/>
          <w:szCs w:val="24"/>
        </w:rPr>
        <w:t xml:space="preserve">Universidade Federal Rural do Rio de Janeiro, </w:t>
      </w:r>
      <w:r>
        <w:rPr>
          <w:rFonts w:ascii="Arial" w:hAnsi="Arial"/>
          <w:b w:val="false"/>
          <w:i w:val="false"/>
          <w:caps w:val="false"/>
          <w:smallCaps w:val="false"/>
          <w:color w:val="000080"/>
          <w:spacing w:val="0"/>
          <w:sz w:val="24"/>
          <w:szCs w:val="24"/>
          <w:u w:val="single"/>
        </w:rPr>
        <w:t>guimamauro@hotmail.com</w:t>
      </w:r>
      <w:r>
        <w:rPr>
          <w:rFonts w:ascii="Arial" w:hAnsi="Arial"/>
          <w:color w:val="000080"/>
          <w:sz w:val="24"/>
          <w:szCs w:val="24"/>
          <w:u w:val="single"/>
        </w:rPr>
        <w:t xml:space="preserve"> </w:t>
      </w:r>
    </w:p>
    <w:p>
      <w:pPr>
        <w:pStyle w:val="normal1"/>
        <w:keepLines/>
        <w:widowControl w:val="false"/>
        <w:spacing w:lineRule="auto" w:line="240"/>
        <w:jc w:val="end"/>
        <w:rPr>
          <w:color w:val="355269"/>
          <w:sz w:val="24"/>
          <w:szCs w:val="24"/>
          <w:u w:val="single"/>
        </w:rPr>
      </w:pPr>
      <w:r>
        <w:rPr>
          <w:color w:val="355269"/>
          <w:sz w:val="24"/>
          <w:szCs w:val="24"/>
          <w:u w:val="single"/>
        </w:rPr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>
      <w:pPr>
        <w:pStyle w:val="BodyText"/>
        <w:bidi w:val="0"/>
        <w:spacing w:lineRule="auto" w:line="276" w:before="0" w:after="0"/>
        <w:ind w:hanging="0" w:start="0" w:end="0"/>
        <w:jc w:val="both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ab/>
        <w:t xml:space="preserve">As comunidades do campo historicamente ocupam lugares de menor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valor no imaginário popular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e, frequentemente,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são associadas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a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perspectivas que associam o rural ao atraso. Essas representações podem ser incorporadas pelos próprios sujeitos, produzindo desvalorização de suas identidades, modos de vida e patrimônios. Nesse contexto, a educação pode contribuir para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questionar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 tais representações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e paradigmas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e fortalecer a relação dos sujeitos com os territórios que habitam, aproximando-se da educação problematizadora de Freire (1997), para quem a leitura crítica da realidade é fundamental à transformação social.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É a partir dessa perspectiva que se desenvolve a “Expedição Pedagógica”, projeto interdisciplinar realizado na Escola Estadual Municipalizada Rialto, no distrito de Rialto, Barra Mansa, Rio de Janeiro. A comunidade possui aproximadamente 873 habitantes, segundo o Censo de 2022. A partir da prática pedagógica e da escuta dos estudantes, identificou-se um distanciamento entre os conteúdos escolares e a realidade vivenciada, além da reprodução de discursos que associavam a vida no campo ao atraso e à inferioridade em relação à cidade.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Diante disso, a “Expedição Pedagógica” foi construída como proposta interdisciplinar que articula Educação Ambiental, Educação Patrimonial, ensino e identidade, aproximando conhecimentos escolares dos saberes, memórias, experiências e patrimônios </w:t>
      </w:r>
      <w:r>
        <w:rPr>
          <w:rFonts w:ascii="Arial" w:hAnsi="Arial"/>
          <w:sz w:val="24"/>
          <w:szCs w:val="24"/>
        </w:rPr>
        <w:t xml:space="preserve">daquele </w:t>
      </w:r>
      <w:r>
        <w:rPr>
          <w:rFonts w:ascii="Arial" w:hAnsi="Arial"/>
          <w:sz w:val="24"/>
          <w:szCs w:val="24"/>
        </w:rPr>
        <w:t>território. Parte-se do pressuposto de que conhecer e valorizar o território pode contribuir para a ressignificação da identidade (HALL, 2006) e o fortalecimento do pertencimento.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O objetivo é desenvolver, junto aos estudantes, processos de reconhecimento, interpretação e valorização do território, articulando identidade, patrimônio e Educação Ambiental, e analisar sua formação como sujeitos ativos e potenciais multiplicadores ambientais. A experiência integra pesquisa de doutorado desenvolvida no Programa de Pós-Graduação em Educação e Contextos Sociais da Universidade Federal Rural do Rio de Janeiro, vinculada ao Grupo de Estudos e Pesquisa em Educação Ambiental, Diversidade e Sustentabilidade (GPEADS), sob orientação do professor Doutor Mauro Guimarães.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A perspectiva de Educação Ambiental adotada é crítica, compreendendo-a não apenas como transmissão de informações sobre conservação da natureza, mas como processo relacionado às dimensões sociais, culturais, históricas e políticas das relações entre sociedade e ambiente. Dialoga-se com Guimarães (2004; 2011), para quem a Educação Ambiental crítica deve problematizar a realidade e formar sujeitos capazes de atuar sobre relações que produzem desigualdades e degradação socioambiental.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A “Expedição Pedagógica” é desenvolvida com turmas do nono ano e inicia-se com atividades sobre cultura, identidade, meio ambiente e patrimônio edificado, natural, material e imaterial. Em seguida, os estudantes elaboram mapas afetivos, identificando lugares de interesse e referências significativas para a comunidade, a partir dos quais constroem coletivamente um roteiro para apresentar Rialto a pessoas que não conhecem o território. Posteriormente, o roteiro é vivenciado em aula de campo interdisciplinar, envolvendo professores e estudantes. Após a atividade, cada professor desenvolve propostas relacionadas ao território e à experiência, estabelecendo relações entre conteúdos da BNCC (BRASIL, 2018) e elementos observados durante a expedição. O projeto é encerrado com uma atividade </w:t>
      </w:r>
      <w:r>
        <w:rPr>
          <w:rFonts w:ascii="Arial" w:hAnsi="Arial"/>
          <w:sz w:val="24"/>
          <w:szCs w:val="24"/>
        </w:rPr>
        <w:t>aberta a toda</w:t>
      </w:r>
      <w:r>
        <w:rPr>
          <w:rFonts w:ascii="Arial" w:hAnsi="Arial"/>
          <w:sz w:val="24"/>
          <w:szCs w:val="24"/>
        </w:rPr>
        <w:t xml:space="preserve"> comunidade escolar. Em sua etapa </w:t>
      </w:r>
      <w:r>
        <w:rPr>
          <w:rFonts w:ascii="Arial" w:hAnsi="Arial"/>
          <w:sz w:val="24"/>
          <w:szCs w:val="24"/>
        </w:rPr>
        <w:t>final</w:t>
      </w:r>
      <w:r>
        <w:rPr>
          <w:rFonts w:ascii="Arial" w:hAnsi="Arial"/>
          <w:sz w:val="24"/>
          <w:szCs w:val="24"/>
        </w:rPr>
        <w:t xml:space="preserve"> uma escola da rede pública é convidada a participar, sendo recebida pelos estudantes de Rialto, que apresentam a comunidade, seus patrimônios e lugares de interesse, </w:t>
      </w:r>
      <w:r>
        <w:rPr>
          <w:rFonts w:ascii="Arial" w:hAnsi="Arial"/>
          <w:sz w:val="24"/>
          <w:szCs w:val="24"/>
        </w:rPr>
        <w:t xml:space="preserve">passando de espectadores a sujeitos ativos </w:t>
      </w:r>
      <w:r>
        <w:rPr>
          <w:rFonts w:ascii="Arial" w:hAnsi="Arial"/>
          <w:sz w:val="24"/>
          <w:szCs w:val="24"/>
        </w:rPr>
        <w:t>da aprendizagem novamente</w:t>
      </w:r>
      <w:r>
        <w:rPr>
          <w:rFonts w:ascii="Arial" w:hAnsi="Arial"/>
          <w:sz w:val="24"/>
          <w:szCs w:val="24"/>
        </w:rPr>
        <w:t>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Atualmente em sua terceira edição, o projeto tem como eixos identidade, patrimônios e ensino. Os resultados observados apontam mudanças na maneira como os estudantes percebem a si mesmos e o território. O reconhecimento da história, dos patrimônios e das características da comunidade </w:t>
      </w:r>
      <w:r>
        <w:rPr>
          <w:rFonts w:ascii="Arial" w:hAnsi="Arial"/>
          <w:sz w:val="24"/>
          <w:szCs w:val="24"/>
        </w:rPr>
        <w:t>rompe com as</w:t>
      </w:r>
      <w:r>
        <w:rPr>
          <w:rFonts w:ascii="Arial" w:hAnsi="Arial"/>
          <w:sz w:val="24"/>
          <w:szCs w:val="24"/>
        </w:rPr>
        <w:t xml:space="preserve"> representações </w:t>
      </w:r>
      <w:r>
        <w:rPr>
          <w:rFonts w:ascii="Arial" w:hAnsi="Arial"/>
          <w:sz w:val="24"/>
          <w:szCs w:val="24"/>
        </w:rPr>
        <w:t xml:space="preserve">estereotipadas </w:t>
      </w:r>
      <w:r>
        <w:rPr>
          <w:rFonts w:ascii="Arial" w:hAnsi="Arial"/>
          <w:sz w:val="24"/>
          <w:szCs w:val="24"/>
        </w:rPr>
        <w:t xml:space="preserve">que associavam o campo ao atraso. Observa-se uma transformação nas narrativas dos estudantes, que passam a reconhecer aspectos da comunidade como elementos de valor, pertencimento e </w:t>
      </w:r>
      <w:r>
        <w:rPr>
          <w:rFonts w:ascii="Arial" w:hAnsi="Arial"/>
          <w:sz w:val="24"/>
          <w:szCs w:val="24"/>
        </w:rPr>
        <w:t>formadores da sua</w:t>
      </w:r>
      <w:r>
        <w:rPr>
          <w:rFonts w:ascii="Arial" w:hAnsi="Arial"/>
          <w:sz w:val="24"/>
          <w:szCs w:val="24"/>
        </w:rPr>
        <w:t xml:space="preserve"> identidade.</w:t>
      </w:r>
    </w:p>
    <w:p>
      <w:pPr>
        <w:pStyle w:val="BodyText"/>
        <w:jc w:val="both"/>
        <w:rPr/>
      </w:pPr>
      <w:r>
        <w:rPr>
          <w:rFonts w:ascii="Arial" w:hAnsi="Arial"/>
          <w:sz w:val="24"/>
          <w:szCs w:val="24"/>
        </w:rPr>
        <w:tab/>
        <w:t xml:space="preserve">Apresentar o território a estudantes de outra comunidade escolar </w:t>
      </w:r>
      <w:r>
        <w:rPr>
          <w:rFonts w:ascii="Arial" w:hAnsi="Arial"/>
          <w:sz w:val="24"/>
          <w:szCs w:val="24"/>
        </w:rPr>
        <w:t xml:space="preserve">é uma das etapas mais </w:t>
      </w:r>
      <w:r>
        <w:rPr>
          <w:rFonts w:ascii="Arial" w:hAnsi="Arial"/>
          <w:sz w:val="24"/>
          <w:szCs w:val="24"/>
        </w:rPr>
        <w:t>significativa da proposta. Ao assumirem o papel de guias e produtores de conhecimento sobre o lugar onde vivem, os adolescentes passam a atuar como sujeitos que interpretam, apresentam e atribuem significado ao território.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É na relação entre o olhar que os estudantes constroem sobre si mesmos e aquele produzido pelo outro sobre sua comunidade que buscamos promover a ressignificação de suas percepções sobre si e sobre o território que habitam.</w:t>
        <w:tab/>
        <w:t xml:space="preserve"> </w:t>
      </w:r>
      <w:r>
        <w:rPr>
          <w:rFonts w:ascii="Arial" w:hAnsi="Arial"/>
          <w:sz w:val="24"/>
          <w:szCs w:val="24"/>
          <w:shd w:fill="auto" w:val="clear"/>
        </w:rPr>
        <w:br/>
        <w:br/>
        <w:tab/>
      </w:r>
      <w:r>
        <w:rPr>
          <w:rFonts w:ascii="Arial" w:hAnsi="Arial"/>
          <w:sz w:val="24"/>
          <w:szCs w:val="24"/>
        </w:rPr>
        <w:t xml:space="preserve">Nesse sentido, a “Expedição Pedagógica” </w:t>
      </w:r>
      <w:r>
        <w:rPr>
          <w:rFonts w:ascii="Arial" w:hAnsi="Arial"/>
          <w:sz w:val="24"/>
          <w:szCs w:val="24"/>
        </w:rPr>
        <w:t>se pauta n</w:t>
      </w:r>
      <w:r>
        <w:rPr>
          <w:rFonts w:ascii="Arial" w:hAnsi="Arial"/>
          <w:sz w:val="24"/>
          <w:szCs w:val="24"/>
        </w:rPr>
        <w:t xml:space="preserve">as relações entre educação, identidade, território e Educação Ambiental, compreendendo o território como lugar de experiências, memórias, relações sociais, pertencimentos e disputas de significado. 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A partir </w:t>
      </w:r>
      <w:r>
        <w:rPr>
          <w:rFonts w:ascii="Arial" w:hAnsi="Arial"/>
          <w:sz w:val="24"/>
          <w:szCs w:val="24"/>
        </w:rPr>
        <w:t xml:space="preserve">do estudo </w:t>
      </w:r>
      <w:r>
        <w:rPr>
          <w:rFonts w:ascii="Arial" w:hAnsi="Arial"/>
          <w:sz w:val="24"/>
          <w:szCs w:val="24"/>
        </w:rPr>
        <w:t>d</w:t>
      </w:r>
      <w:r>
        <w:rPr>
          <w:rFonts w:ascii="Arial" w:hAnsi="Arial"/>
          <w:sz w:val="24"/>
          <w:szCs w:val="24"/>
        </w:rPr>
        <w:t>essa</w:t>
      </w:r>
      <w:r>
        <w:rPr>
          <w:rFonts w:ascii="Arial" w:hAnsi="Arial"/>
          <w:sz w:val="24"/>
          <w:szCs w:val="24"/>
        </w:rPr>
        <w:t xml:space="preserve"> experiência, a pesquisa de doutorado </w:t>
      </w:r>
      <w:r>
        <w:rPr>
          <w:rFonts w:ascii="Arial" w:hAnsi="Arial"/>
          <w:sz w:val="24"/>
          <w:szCs w:val="24"/>
        </w:rPr>
        <w:t>da professora-pesquisadora</w:t>
      </w:r>
      <w:r>
        <w:rPr>
          <w:rFonts w:ascii="Arial" w:hAnsi="Arial"/>
          <w:sz w:val="24"/>
          <w:szCs w:val="24"/>
        </w:rPr>
        <w:t xml:space="preserve"> busca compreender em que medida projetos de Educação Ambiental e Educação Patrimonial contribuem para a formação das identidades dos sujeitos do campo, investigando como a transformação do olhar dos estudantes sobre si mesmos se relaciona com o olhar de outros sujeitos sobre suas comunidades. Busca-se, ainda, compreender o papel do professor e as possibilidades de articulação entre Educação Ambiental, Educação Patrimonial e formação de adolescentes do campo.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A “Expedição Pedagógica” constitui uma experiência de educação ambiental e patrimonial, com referências decoloniais (WALSH, 2013), que articula conhecimento escolar, território, identidade e participação. Ao possibilitar que adolescentes conheçam, interpretem e apresentem o lugar onde vivem, a proposta cria condições para que reconheçam sua história, compreendam os patrimônios da comunidade e se percebam como sujeitos de direitos e participantes ativos na construção do território. A experiência aponta para a potência de práticas educativas territorializadas na construção de outras formas de olhar para o campo e seus sujeitos, contribuindo para ressignificar o lugar associado ao atraso como espaço de pertencimento, memória, conhecimento, identidade e possibilidades de futuro.</w:t>
      </w:r>
    </w:p>
    <w:p>
      <w:pPr>
        <w:pStyle w:val="BodyText"/>
        <w:bidi w:val="0"/>
        <w:spacing w:lineRule="auto" w:line="276" w:before="0" w:after="0"/>
        <w:ind w:hanging="0" w:start="0" w:end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Lines/>
        <w:widowControl w:val="false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>
      <w:pPr>
        <w:pStyle w:val="Normal"/>
        <w:bidi w:val="0"/>
        <w:spacing w:lineRule="auto" w:line="276" w:before="0" w:after="0"/>
        <w:jc w:val="both"/>
        <w:rPr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Educação Ambiental; Educação Patrimonial; Identidade; Território; Educação do Campo.</w:t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Times New Roman" w:cs="Arial" w:ascii="Arial" w:hAnsi="Arial"/>
          <w:color w:val="000000"/>
          <w:kern w:val="0"/>
          <w:sz w:val="24"/>
          <w:szCs w:val="24"/>
          <w:lang w:eastAsia="pt-BR"/>
        </w:rPr>
        <w:br/>
        <w:t xml:space="preserve">BRASIL. Ministério da Educação. </w:t>
      </w:r>
      <w:r>
        <w:rPr>
          <w:rFonts w:eastAsia="Times New Roman" w:cs="Arial" w:ascii="Arial" w:hAnsi="Arial"/>
          <w:b/>
          <w:bCs/>
          <w:color w:val="000000"/>
          <w:kern w:val="0"/>
          <w:sz w:val="24"/>
          <w:szCs w:val="24"/>
          <w:lang w:eastAsia="pt-BR"/>
        </w:rPr>
        <w:t>Base Nacional Comum Curricular</w:t>
      </w:r>
      <w:r>
        <w:rPr>
          <w:rFonts w:eastAsia="Times New Roman" w:cs="Arial" w:ascii="Arial" w:hAnsi="Arial"/>
          <w:color w:val="000000"/>
          <w:kern w:val="0"/>
          <w:sz w:val="24"/>
          <w:szCs w:val="24"/>
          <w:lang w:eastAsia="pt-BR"/>
        </w:rPr>
        <w:t xml:space="preserve">. Brasília: MEC, 2018. </w:t>
      </w:r>
      <w:r>
        <w:rPr>
          <w:rFonts w:eastAsia="Arial" w:cs="Arial" w:ascii="Arial" w:hAnsi="Arial"/>
          <w:color w:val="000000"/>
          <w:sz w:val="24"/>
          <w:szCs w:val="24"/>
        </w:rPr>
        <w:br/>
        <w:br/>
        <w:t xml:space="preserve">FREIRE, Paulo. </w:t>
      </w:r>
      <w:r>
        <w:rPr>
          <w:rFonts w:eastAsia="Arial" w:cs="Arial" w:ascii="Arial" w:hAnsi="Arial"/>
          <w:b/>
          <w:color w:val="000000"/>
          <w:sz w:val="24"/>
          <w:szCs w:val="24"/>
        </w:rPr>
        <w:t>Pedagogia da Autonomia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: Saberes necessários à prática educativa. São Paulo: Paz e Terra, 1997. </w:t>
        <w:br/>
        <w:br/>
        <w:t xml:space="preserve">GUIMARÃES, M.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Construindo a “ComVivência” Pedagógica. In: GUIMARÃES, M. (org). Educação Ambiental e a “ComVivência” pedagógica: emergências e transformações no séc. XXI.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Campinas, SP: Papirus Editora, 2021. p. 127-174.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</w:rPr>
      </w:pPr>
      <w:r>
        <w:rPr>
          <w:rFonts w:ascii="Arial" w:hAnsi="Arial"/>
          <w:color w:val="000000"/>
          <w:sz w:val="24"/>
          <w:szCs w:val="24"/>
        </w:rPr>
        <w:br/>
        <w:t xml:space="preserve">GUIMARÃES, Mauro. </w:t>
      </w:r>
      <w:r>
        <w:rPr>
          <w:rStyle w:val="Emphasis"/>
          <w:rFonts w:ascii="Arial" w:hAnsi="Arial"/>
          <w:b/>
          <w:bCs/>
          <w:i w:val="false"/>
          <w:iCs w:val="false"/>
          <w:color w:val="000000"/>
          <w:sz w:val="24"/>
          <w:szCs w:val="24"/>
        </w:rPr>
        <w:t>A formação de educadores ambientais</w:t>
      </w:r>
      <w:r>
        <w:rPr>
          <w:rFonts w:ascii="Arial" w:hAnsi="Arial"/>
          <w:color w:val="000000"/>
          <w:sz w:val="24"/>
          <w:szCs w:val="24"/>
        </w:rPr>
        <w:t>. Campinas: Papirus, 2004.</w:t>
        <w:br/>
        <w:br/>
        <w:t xml:space="preserve">GUIMARÃES, Mauro. </w:t>
      </w:r>
      <w:r>
        <w:rPr>
          <w:rFonts w:ascii="Arial" w:hAnsi="Arial"/>
          <w:b/>
          <w:bCs/>
          <w:color w:val="000000"/>
          <w:sz w:val="24"/>
          <w:szCs w:val="24"/>
        </w:rPr>
        <w:t>Por uma educação ambiental crítica na sociedade atual</w:t>
      </w:r>
      <w:r>
        <w:rPr>
          <w:rFonts w:ascii="Arial" w:hAnsi="Arial"/>
          <w:color w:val="000000"/>
          <w:sz w:val="24"/>
          <w:szCs w:val="24"/>
        </w:rPr>
        <w:t xml:space="preserve">. </w:t>
      </w:r>
      <w:r>
        <w:rPr>
          <w:rStyle w:val="Emphasis"/>
          <w:rFonts w:ascii="Arial" w:hAnsi="Arial"/>
          <w:color w:val="000000"/>
          <w:sz w:val="24"/>
          <w:szCs w:val="24"/>
        </w:rPr>
        <w:t>Revista Margens Interdisciplinar</w:t>
      </w:r>
      <w:r>
        <w:rPr>
          <w:rFonts w:ascii="Arial" w:hAnsi="Arial"/>
          <w:color w:val="000000"/>
          <w:sz w:val="24"/>
          <w:szCs w:val="24"/>
        </w:rPr>
        <w:t>, 2011.</w:t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br/>
        <w:t xml:space="preserve">HALL, Stuart. </w:t>
      </w:r>
      <w:r>
        <w:rPr>
          <w:rFonts w:cs="Arial" w:ascii="Arial" w:hAnsi="Arial"/>
          <w:b/>
          <w:color w:val="000000"/>
          <w:sz w:val="24"/>
          <w:szCs w:val="24"/>
        </w:rPr>
        <w:t>A identidade cultural na pós – modernidade.</w:t>
      </w:r>
      <w:r>
        <w:rPr>
          <w:rFonts w:cs="Arial" w:ascii="Arial" w:hAnsi="Arial"/>
          <w:color w:val="000000"/>
          <w:sz w:val="24"/>
          <w:szCs w:val="24"/>
        </w:rPr>
        <w:t xml:space="preserve">  Tradução Tomaz. Tadeu da Silva, Guacira Lopes Louro-11. Ed.- Rio de janeiro: DP&amp;A, 2006.</w:t>
        <w:tab/>
        <w:br/>
      </w:r>
    </w:p>
    <w:p>
      <w:pPr>
        <w:pStyle w:val="Normal"/>
        <w:bidi w:val="0"/>
        <w:spacing w:lineRule="auto" w:line="276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pacing w:val="5"/>
          <w:sz w:val="24"/>
          <w:szCs w:val="24"/>
          <w:shd w:fill="FFFFFF" w:val="clear"/>
        </w:rPr>
        <w:t xml:space="preserve">NETTO Azevedo. </w:t>
      </w:r>
      <w:r>
        <w:rPr>
          <w:rFonts w:eastAsia="Times New Roman" w:cs="Arial" w:ascii="Arial" w:hAnsi="Arial"/>
          <w:b/>
          <w:bCs/>
          <w:color w:val="000000"/>
          <w:spacing w:val="18"/>
          <w:kern w:val="0"/>
          <w:sz w:val="24"/>
          <w:szCs w:val="24"/>
          <w:lang w:eastAsia="pt-BR"/>
        </w:rPr>
        <w:t xml:space="preserve">Memória e identidade: a representação através da cultura </w:t>
      </w:r>
      <w:r>
        <w:rPr>
          <w:rFonts w:eastAsia="Times New Roman" w:cs="Arial" w:ascii="Arial" w:hAnsi="Arial"/>
          <w:b/>
          <w:bCs/>
          <w:color w:val="000000"/>
          <w:spacing w:val="5"/>
          <w:kern w:val="0"/>
          <w:sz w:val="24"/>
          <w:szCs w:val="24"/>
          <w:lang w:eastAsia="pt-BR"/>
        </w:rPr>
        <w:t xml:space="preserve">material. </w:t>
      </w:r>
      <w:r>
        <w:rPr>
          <w:rFonts w:eastAsia="Times New Roman" w:cs="Arial" w:ascii="Arial" w:hAnsi="Arial"/>
          <w:b/>
          <w:bCs/>
          <w:color w:val="000000"/>
          <w:spacing w:val="5"/>
          <w:kern w:val="0"/>
          <w:sz w:val="24"/>
          <w:szCs w:val="24"/>
          <w:lang w:eastAsia="pt-BR"/>
        </w:rPr>
        <w:t>Cadernos de Estudos e Pesquisas,</w:t>
      </w:r>
      <w:r>
        <w:rPr>
          <w:rFonts w:eastAsia="Times New Roman" w:cs="Arial" w:ascii="Arial" w:hAnsi="Arial"/>
          <w:b w:val="false"/>
          <w:bCs w:val="false"/>
          <w:color w:val="000000"/>
          <w:spacing w:val="5"/>
          <w:kern w:val="0"/>
          <w:sz w:val="24"/>
          <w:szCs w:val="24"/>
          <w:lang w:eastAsia="pt-BR"/>
        </w:rPr>
        <w:t xml:space="preserve"> São Gonçalo, ano 8, n. 19, p.</w:t>
      </w:r>
      <w:r>
        <w:rPr>
          <w:rFonts w:eastAsia="Times New Roman" w:cs="Arial" w:ascii="Arial" w:hAnsi="Arial"/>
          <w:b w:val="false"/>
          <w:bCs w:val="false"/>
          <w:color w:val="000000"/>
          <w:spacing w:val="18"/>
          <w:kern w:val="0"/>
          <w:sz w:val="24"/>
          <w:szCs w:val="24"/>
          <w:lang w:eastAsia="pt-BR"/>
        </w:rPr>
        <w:t xml:space="preserve"> </w:t>
      </w:r>
      <w:r>
        <w:rPr>
          <w:rFonts w:eastAsia="Times New Roman" w:cs="Arial" w:ascii="Arial" w:hAnsi="Arial"/>
          <w:b w:val="false"/>
          <w:bCs w:val="false"/>
          <w:color w:val="000000"/>
          <w:spacing w:val="25"/>
          <w:kern w:val="0"/>
          <w:sz w:val="24"/>
          <w:szCs w:val="24"/>
          <w:lang w:eastAsia="pt-BR"/>
        </w:rPr>
        <w:t>13-24, 2004.</w:t>
        <w:tab/>
      </w:r>
      <w:r>
        <w:rPr>
          <w:rFonts w:eastAsia="Times New Roman" w:cs="Arial" w:ascii="Arial" w:hAnsi="Arial"/>
          <w:b/>
          <w:bCs/>
          <w:color w:val="000000"/>
          <w:spacing w:val="25"/>
          <w:kern w:val="0"/>
          <w:sz w:val="24"/>
          <w:szCs w:val="24"/>
          <w:lang w:eastAsia="pt-BR"/>
        </w:rPr>
        <w:br/>
        <w:br/>
      </w: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>WALSH, Catherine (Ed.).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Pedagogías decoloniales: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prácticas insurgentes de resistir, (re)existir y (re)vivir. Tomo I. Q</w:t>
      </w: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>uito, Ecuador: Ediciones Abya-Yala, 2013.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00530" cy="1700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-304800</wp:posOffset>
          </wp:positionV>
          <wp:extent cx="664845" cy="762000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236" r="0" b="236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end"/>
      <w:rPr/>
    </w:pPr>
    <w:r>
      <w:rPr/>
    </w:r>
  </w:p>
  <w:p>
    <w:pPr>
      <w:pStyle w:val="normal1"/>
      <w:jc w:val="end"/>
      <w:rPr/>
    </w:pPr>
    <w:r>
      <w:rPr/>
    </w:r>
  </w:p>
  <w:p>
    <w:pPr>
      <w:pStyle w:val="normal1"/>
      <w:jc w:val="star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-5715</wp:posOffset>
          </wp:positionV>
          <wp:extent cx="415925" cy="1071626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15925" cy="1071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00530" cy="1700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-304800</wp:posOffset>
          </wp:positionV>
          <wp:extent cx="664845" cy="762000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236" r="0" b="236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end"/>
      <w:rPr/>
    </w:pPr>
    <w:r>
      <w:rPr/>
    </w:r>
  </w:p>
  <w:p>
    <w:pPr>
      <w:pStyle w:val="normal1"/>
      <w:jc w:val="end"/>
      <w:rPr/>
    </w:pPr>
    <w:r>
      <w:rPr/>
    </w:r>
  </w:p>
  <w:p>
    <w:pPr>
      <w:pStyle w:val="normal1"/>
      <w:jc w:val="star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-5715</wp:posOffset>
          </wp:positionV>
          <wp:extent cx="415925" cy="10716260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15925" cy="1071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ssicamgondim@gmail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4</Pages>
  <Words>1107</Words>
  <Characters>6910</Characters>
  <CharactersWithSpaces>8026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2026-08-08T17:53:45Z</dcterms:modified>
  <cp:revision>1</cp:revision>
  <dc:subject/>
  <dc:title/>
</cp:coreProperties>
</file>