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727F" w:rsidRDefault="00691006">
      <w:pPr>
        <w:pStyle w:val="normal0"/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CONVERSATÓRIO 6 – DECOLONIZAR AS INFÂNCIAS: AS VOZES DAS CRIANÇAS COMO PERSPECTIVAS OUTRAS</w:t>
      </w:r>
    </w:p>
    <w:p w:rsidR="0024727F" w:rsidRDefault="0024727F">
      <w:pPr>
        <w:pStyle w:val="normal0"/>
        <w:keepLines/>
        <w:widowControl w:val="0"/>
        <w:spacing w:line="240" w:lineRule="auto"/>
        <w:jc w:val="center"/>
        <w:rPr>
          <w:sz w:val="24"/>
          <w:szCs w:val="24"/>
        </w:rPr>
      </w:pPr>
    </w:p>
    <w:p w:rsidR="0024727F" w:rsidRDefault="0024727F">
      <w:pPr>
        <w:pStyle w:val="normal0"/>
        <w:keepLines/>
        <w:widowControl w:val="0"/>
        <w:spacing w:line="240" w:lineRule="auto"/>
        <w:rPr>
          <w:b/>
          <w:bCs/>
          <w:sz w:val="24"/>
          <w:szCs w:val="24"/>
        </w:rPr>
      </w:pPr>
    </w:p>
    <w:p w:rsidR="0024727F" w:rsidRDefault="0024727F">
      <w:pPr>
        <w:pStyle w:val="normal0"/>
        <w:keepLines/>
        <w:widowControl w:val="0"/>
        <w:spacing w:line="240" w:lineRule="auto"/>
        <w:rPr>
          <w:b/>
          <w:bCs/>
          <w:sz w:val="24"/>
          <w:szCs w:val="24"/>
        </w:rPr>
      </w:pPr>
    </w:p>
    <w:p w:rsidR="0024727F" w:rsidRDefault="00751EC0">
      <w:pPr>
        <w:pStyle w:val="normal0"/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F66569">
        <w:rPr>
          <w:b/>
          <w:bCs/>
          <w:sz w:val="24"/>
          <w:szCs w:val="24"/>
        </w:rPr>
        <w:t>Escutar as Infâncias: uma Reflexão Decolonial sobre Conhecimento, Desenvolvimento e Diferença</w:t>
      </w:r>
    </w:p>
    <w:p w:rsidR="0024727F" w:rsidRDefault="0024727F" w:rsidP="00736CA5">
      <w:pPr>
        <w:pStyle w:val="normal0"/>
        <w:keepLines/>
        <w:widowControl w:val="0"/>
        <w:spacing w:line="240" w:lineRule="auto"/>
        <w:jc w:val="center"/>
        <w:rPr>
          <w:sz w:val="24"/>
          <w:szCs w:val="24"/>
        </w:rPr>
      </w:pPr>
    </w:p>
    <w:p w:rsidR="0024727F" w:rsidRDefault="0024727F">
      <w:pPr>
        <w:pStyle w:val="normal0"/>
        <w:keepLines/>
        <w:widowControl w:val="0"/>
        <w:spacing w:line="240" w:lineRule="auto"/>
        <w:jc w:val="right"/>
        <w:rPr>
          <w:sz w:val="24"/>
          <w:szCs w:val="24"/>
        </w:rPr>
      </w:pPr>
    </w:p>
    <w:p w:rsidR="0024727F" w:rsidRDefault="00691006">
      <w:pPr>
        <w:pStyle w:val="normal0"/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Lurian Cordeiro Lula da Silva</w:t>
      </w:r>
      <w:r w:rsidR="00751EC0">
        <w:rPr>
          <w:sz w:val="24"/>
          <w:szCs w:val="24"/>
        </w:rPr>
        <w:t xml:space="preserve">, </w:t>
      </w:r>
      <w:r>
        <w:rPr>
          <w:sz w:val="24"/>
          <w:szCs w:val="24"/>
        </w:rPr>
        <w:t>Universidade de Brasília</w:t>
      </w:r>
      <w:r w:rsidR="00751EC0">
        <w:rPr>
          <w:sz w:val="24"/>
          <w:szCs w:val="24"/>
        </w:rPr>
        <w:t xml:space="preserve">, </w:t>
      </w:r>
      <w:r>
        <w:rPr>
          <w:sz w:val="24"/>
          <w:szCs w:val="24"/>
        </w:rPr>
        <w:t>lurian.silva@gmail.com</w:t>
      </w:r>
    </w:p>
    <w:p w:rsidR="0024727F" w:rsidRDefault="00691006" w:rsidP="00691006">
      <w:pPr>
        <w:pStyle w:val="normal0"/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Ludmyla Alencar Ferreira Galdino</w:t>
      </w:r>
      <w:r w:rsidR="00751EC0">
        <w:rPr>
          <w:sz w:val="24"/>
          <w:szCs w:val="24"/>
        </w:rPr>
        <w:t xml:space="preserve">, </w:t>
      </w:r>
      <w:r>
        <w:rPr>
          <w:sz w:val="24"/>
          <w:szCs w:val="24"/>
        </w:rPr>
        <w:t>Universidade de Brasília, alencarludmyla5@gmail.com</w:t>
      </w:r>
    </w:p>
    <w:p w:rsidR="0024727F" w:rsidRDefault="007D2799">
      <w:pPr>
        <w:pStyle w:val="normal0"/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rStyle w:val="Refdenotaderodap"/>
          <w:sz w:val="24"/>
          <w:szCs w:val="24"/>
        </w:rPr>
        <w:footnoteReference w:id="2"/>
      </w:r>
    </w:p>
    <w:p w:rsidR="0024727F" w:rsidRDefault="0024727F">
      <w:pPr>
        <w:pStyle w:val="normal0"/>
        <w:keepLines/>
        <w:widowControl w:val="0"/>
        <w:spacing w:line="240" w:lineRule="auto"/>
        <w:rPr>
          <w:sz w:val="24"/>
          <w:szCs w:val="24"/>
        </w:rPr>
      </w:pPr>
    </w:p>
    <w:p w:rsidR="0024727F" w:rsidRDefault="0024727F">
      <w:pPr>
        <w:pStyle w:val="normal0"/>
        <w:keepLines/>
        <w:widowControl w:val="0"/>
        <w:spacing w:line="240" w:lineRule="auto"/>
        <w:rPr>
          <w:sz w:val="24"/>
          <w:szCs w:val="24"/>
        </w:rPr>
      </w:pPr>
    </w:p>
    <w:p w:rsidR="0024727F" w:rsidRDefault="0024727F">
      <w:pPr>
        <w:pStyle w:val="normal0"/>
        <w:keepLines/>
        <w:widowControl w:val="0"/>
        <w:spacing w:line="360" w:lineRule="auto"/>
        <w:rPr>
          <w:b/>
          <w:bCs/>
          <w:sz w:val="24"/>
          <w:szCs w:val="24"/>
        </w:rPr>
      </w:pPr>
    </w:p>
    <w:p w:rsidR="0024727F" w:rsidRDefault="00751EC0">
      <w:pPr>
        <w:pStyle w:val="normal0"/>
        <w:keepLines/>
        <w:widowControl w:val="0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RESUMO</w:t>
      </w:r>
    </w:p>
    <w:p w:rsidR="0024727F" w:rsidRDefault="0024727F">
      <w:pPr>
        <w:pStyle w:val="normal0"/>
        <w:keepLines/>
        <w:widowControl w:val="0"/>
        <w:spacing w:line="360" w:lineRule="auto"/>
        <w:rPr>
          <w:b/>
          <w:bCs/>
          <w:sz w:val="24"/>
          <w:szCs w:val="24"/>
        </w:rPr>
      </w:pPr>
    </w:p>
    <w:p w:rsidR="007D2799" w:rsidRDefault="00F66569" w:rsidP="00F66569">
      <w:pPr>
        <w:pStyle w:val="normal0"/>
        <w:keepLines/>
        <w:widowControl w:val="0"/>
        <w:spacing w:line="360" w:lineRule="auto"/>
        <w:jc w:val="both"/>
        <w:rPr>
          <w:sz w:val="24"/>
          <w:szCs w:val="24"/>
        </w:rPr>
      </w:pPr>
      <w:r w:rsidRPr="00F66569">
        <w:rPr>
          <w:sz w:val="24"/>
          <w:szCs w:val="24"/>
        </w:rPr>
        <w:t>Este ensaio teórico resulta das discussões desenvolvidas na disciplina Epistemologia e Metodologia do Desenvolvimento Escolar, vinculada ao Programa de Pós-Graduação em Psicologia do Desenvolvimento e Escolar (PGPDE) da Universidade de Brasília (UnB). Inspirado pelo debate proposto por Souza, Basílio e Marcolino (2024), o texto busca problematizar as contribuições das perspectivas decoloniais e interseccionais para os estudos da infância, tomando este trabalho como ponto de partida para uma reflexão sobre os modos de produzir conhecimento com as crianças. Pretende-se discutir como essas perspectivas deslocam pressupostos da educação e das ciências humanas, especialmente os fundamentados em concepções universalizantes de infância, desenvolvimento e conhecimento.</w:t>
      </w:r>
    </w:p>
    <w:p w:rsidR="007D2799" w:rsidRPr="007D2799" w:rsidRDefault="007D2799" w:rsidP="007D2799"/>
    <w:p w:rsidR="007D2799" w:rsidRPr="007D2799" w:rsidRDefault="007D2799" w:rsidP="007D2799"/>
    <w:p w:rsidR="007D2799" w:rsidRPr="007D2799" w:rsidRDefault="007D2799" w:rsidP="007D2799"/>
    <w:p w:rsidR="007D2799" w:rsidRPr="007D2799" w:rsidRDefault="007D2799" w:rsidP="007D2799"/>
    <w:p w:rsidR="007D2799" w:rsidRPr="007D2799" w:rsidRDefault="007D2799" w:rsidP="007D2799"/>
    <w:p w:rsidR="007D2799" w:rsidRDefault="007D2799" w:rsidP="007D2799"/>
    <w:p w:rsidR="00F66569" w:rsidRPr="007D2799" w:rsidRDefault="00F66569" w:rsidP="007D2799"/>
    <w:p w:rsidR="00F66569" w:rsidRPr="00F66569" w:rsidRDefault="00F66569" w:rsidP="00F66569">
      <w:pPr>
        <w:pStyle w:val="normal0"/>
        <w:keepLines/>
        <w:widowControl w:val="0"/>
        <w:spacing w:line="360" w:lineRule="auto"/>
        <w:jc w:val="both"/>
        <w:rPr>
          <w:sz w:val="24"/>
          <w:szCs w:val="24"/>
        </w:rPr>
      </w:pPr>
      <w:r w:rsidRPr="00F66569">
        <w:rPr>
          <w:sz w:val="24"/>
          <w:szCs w:val="24"/>
        </w:rPr>
        <w:lastRenderedPageBreak/>
        <w:t>A reflexão parte de uma questão central: o que significa escutar uma criança quando ela não corresponde ao modelo abstrato, universal e eurocentrado que historicamente orientou parte da pedagogia moderna? Essa pergunta exige reconhecer que a infância não é uma experiência homogênea, mas uma realidade plural, produzida nas relações entre território, raça, classe, gênero, ancestralidade, cultura e pertencimento. Escutar as crianças, nessa perspectiva, não significa apenas criar espaços para que falem, mas questionar quais infâncias foram historicamente autorizadas a produzir conhecimento e quais permaneceram invisibilizadas pelos discursos científicos e pedagógicos.</w:t>
      </w:r>
    </w:p>
    <w:p w:rsidR="00F66569" w:rsidRPr="00F66569" w:rsidRDefault="00F66569" w:rsidP="00F66569">
      <w:pPr>
        <w:pStyle w:val="normal0"/>
        <w:keepLines/>
        <w:widowControl w:val="0"/>
        <w:spacing w:line="360" w:lineRule="auto"/>
        <w:jc w:val="both"/>
        <w:rPr>
          <w:sz w:val="24"/>
          <w:szCs w:val="24"/>
        </w:rPr>
      </w:pPr>
      <w:r w:rsidRPr="00F66569">
        <w:rPr>
          <w:sz w:val="24"/>
          <w:szCs w:val="24"/>
        </w:rPr>
        <w:t>Durante muito tempo, a infância foi concebida como uma etapa universal do desenvolvimento humano, definida por parâmetros construídos a partir das experiências de crianças europeias, brancas e pertencentes às classes médias urbanas. A contribuição de Philippe Ariès (1981), ao demonstrar que a infância é uma construção histórica, representou um deslocamento em relação às concepções naturalizantes. Entretanto, quando essa formulação é tomada como narrativa totalizante, corre-se o risco de obscurecer a diversidade das experiências infantis e de transformar uma história particular em referência para todas as crianças.</w:t>
      </w:r>
    </w:p>
    <w:p w:rsidR="00F66569" w:rsidRPr="00F66569" w:rsidRDefault="00F66569" w:rsidP="00F66569">
      <w:pPr>
        <w:pStyle w:val="normal0"/>
        <w:keepLines/>
        <w:widowControl w:val="0"/>
        <w:spacing w:line="360" w:lineRule="auto"/>
        <w:jc w:val="both"/>
        <w:rPr>
          <w:sz w:val="24"/>
          <w:szCs w:val="24"/>
        </w:rPr>
      </w:pPr>
      <w:r w:rsidRPr="00F66569">
        <w:rPr>
          <w:sz w:val="24"/>
          <w:szCs w:val="24"/>
        </w:rPr>
        <w:t>As perspectivas decoloniais ampliam essa discussão ao evidenciar que não basta reconhecer o caráter histórico da infância; é necessário perguntar quem produziu essa história, quais sujeitos foram legitimados e quais experiências permaneceram ausentes das narrativas oficiais. Nesse sentido, a infância moderna revela-se inseparável da colonialidade do saber, pois foi construída simultaneamente à produção de hierarquias entre povos, culturas e modos de conhecer. Conforme argumenta Quijano (2005), a colonialidade não se encerra com o fim do colonialismo formal, permanecendo como lógica que organiza relações de poder, conhecimento e subjetividade. Walsh (2009) amplia essa compreensão ao demonstrar que a colonialidade atua cotidianamente na produção das instituições, dos currículos, das práticas educativas e das formas consideradas legítimas de produzir conhecimento.</w:t>
      </w:r>
    </w:p>
    <w:p w:rsidR="00F66569" w:rsidRPr="00F66569" w:rsidRDefault="00F66569" w:rsidP="00F66569">
      <w:pPr>
        <w:pStyle w:val="normal0"/>
        <w:keepLines/>
        <w:widowControl w:val="0"/>
        <w:spacing w:line="360" w:lineRule="auto"/>
        <w:jc w:val="both"/>
        <w:rPr>
          <w:sz w:val="24"/>
          <w:szCs w:val="24"/>
        </w:rPr>
      </w:pPr>
      <w:r w:rsidRPr="00F66569">
        <w:rPr>
          <w:sz w:val="24"/>
          <w:szCs w:val="24"/>
        </w:rPr>
        <w:lastRenderedPageBreak/>
        <w:t>Desse modo, decolonizar as infâncias não significa apenas incluir crianças historicamente excluídas na pesquisa, mas questionar os próprios referenciais que definem o que é ser criança, como ocorre o desenvolvimento e quais conhecimentos possuem legitimidade científica. Esse deslocamento torna a interseccionalidade um instrumento analítico indispensável. Desde a formulação de Kimberlé Crenshaw (1989), compreende-se que as desigualdades são produzidas pela articulação entre diferentes sistemas de dominação. Carla Akotirene (2019) amplia essa perspectiva ao situar a interseccionalidade nas experiências históricas da população negra, evidenciando que raça, gênero, classe, território e geração não podem ser analisados separadamente. Crianças negras, indígenas, quilombolas, ribeirinhas ou periféricas experimentam a infância de maneiras distintas, revelando que existem infâncias, e não uma infância única.</w:t>
      </w:r>
    </w:p>
    <w:p w:rsidR="00F66569" w:rsidRPr="00F66569" w:rsidRDefault="00F66569" w:rsidP="00F66569">
      <w:pPr>
        <w:pStyle w:val="normal0"/>
        <w:keepLines/>
        <w:widowControl w:val="0"/>
        <w:spacing w:line="360" w:lineRule="auto"/>
        <w:jc w:val="both"/>
        <w:rPr>
          <w:sz w:val="24"/>
          <w:szCs w:val="24"/>
        </w:rPr>
      </w:pPr>
      <w:r w:rsidRPr="00F66569">
        <w:rPr>
          <w:sz w:val="24"/>
          <w:szCs w:val="24"/>
        </w:rPr>
        <w:t>Se a colonialidade atua produzindo hierarquias entre saberes, decolonizar as infâncias exige igualmente transformar os modos de produzir conhecimento. A escuta deixa de ser compreendida como técnica para assumir caráter ético, político e epistemológico. Sob essa perspectiva, práticas investigativas fundamentadas em metodologias qualitativas críticas, como a etnografia e a escrevivência, revelam possibilidades importantes para romper com a lógica da observação distante e da neutralidade científica. Em contextos comunitários, as crianças não ocupam apenas a posição de destinatárias do cuidado adulto; elas participam da vida cotidiana, observam, colaboram, aprendem, ensinam e constroem pertencimento. Essa compreensão amplia a noção de desenvolvimento infantil, deslocando seu foco da aquisição individual para os processos coletivos e culturalmente situados.</w:t>
      </w:r>
    </w:p>
    <w:p w:rsidR="00F66569" w:rsidRPr="00F66569" w:rsidRDefault="00F66569" w:rsidP="00F66569">
      <w:pPr>
        <w:pStyle w:val="normal0"/>
        <w:keepLines/>
        <w:widowControl w:val="0"/>
        <w:spacing w:line="360" w:lineRule="auto"/>
        <w:jc w:val="both"/>
        <w:rPr>
          <w:sz w:val="24"/>
          <w:szCs w:val="24"/>
        </w:rPr>
      </w:pPr>
      <w:r w:rsidRPr="00F66569">
        <w:rPr>
          <w:sz w:val="24"/>
          <w:szCs w:val="24"/>
        </w:rPr>
        <w:t>A escrevivência, formulada por Conceição Evaristo (2020), contribui para esse deslocamento epistemológico ao afirmar que conhecer implica reconhecer os atravessamentos da memória, da história e da experiência. Desenhos, brincadeiras, gestos e silêncios constituem formas legítimas de produzir conhecimento. Escutar as crianças exige ampliar o próprio conceito de linguagem. A crítica feminista negra evidencia que a neutralidade científica oculta privilégios historicamente construídos. Como demonstra Neusa Santos Souza (1983), os processos de constituição da identidade são atravessados por relações de poder. Assumir uma posição situada fortalece o compromisso ético da pesquisa.</w:t>
      </w:r>
    </w:p>
    <w:p w:rsidR="00F66569" w:rsidRPr="00F66569" w:rsidRDefault="00F66569" w:rsidP="00F66569">
      <w:pPr>
        <w:pStyle w:val="normal0"/>
        <w:keepLines/>
        <w:widowControl w:val="0"/>
        <w:spacing w:line="360" w:lineRule="auto"/>
        <w:jc w:val="both"/>
        <w:rPr>
          <w:sz w:val="24"/>
          <w:szCs w:val="24"/>
        </w:rPr>
      </w:pPr>
      <w:r w:rsidRPr="00F66569">
        <w:rPr>
          <w:sz w:val="24"/>
          <w:szCs w:val="24"/>
        </w:rPr>
        <w:lastRenderedPageBreak/>
        <w:t>Esses deslocamentos convergem para uma compreensão comum: decolonizar as infâncias significa produzir conhecimento com as crianças, e não apenas sobre elas, superando a lógica adultocêntrica. Essa perspectiva não romantiza as infâncias nem ignora as desigualdades e o racismo estrutural, mas reconhece que, mesmo em contextos de opressão, as crianças constroem estratégias de resistência, recriam o cotidiano e elaboram modos próprios de existir.</w:t>
      </w:r>
    </w:p>
    <w:p w:rsidR="0024727F" w:rsidRDefault="00F66569" w:rsidP="00F66569">
      <w:pPr>
        <w:pStyle w:val="normal0"/>
        <w:keepLines/>
        <w:widowControl w:val="0"/>
        <w:spacing w:line="360" w:lineRule="auto"/>
        <w:jc w:val="both"/>
        <w:rPr>
          <w:sz w:val="24"/>
          <w:szCs w:val="24"/>
        </w:rPr>
      </w:pPr>
      <w:r w:rsidRPr="00F66569">
        <w:rPr>
          <w:sz w:val="24"/>
          <w:szCs w:val="24"/>
        </w:rPr>
        <w:t>Por fim, compreender as infâncias a partir das perspectivas decoloniais e interseccionais exige revisar as bases epistemológicas da universidade, da escola e da pesquisa. O encantamento, conforme proposto por Rufino e Simas (2018), surge como resistência ao desencantamento produzido pela racionalidade colonial. O desafio consiste em abandonar a pretensão de falar pelas crianças para construir conhecimentos que reconheçam suas vozes, silêncios, gestos e brincadeiras como dimensões constitutivas da produção científica.</w:t>
      </w:r>
    </w:p>
    <w:p w:rsidR="0024727F" w:rsidRDefault="0024727F">
      <w:pPr>
        <w:pStyle w:val="normal0"/>
        <w:keepLines/>
        <w:widowControl w:val="0"/>
        <w:spacing w:line="360" w:lineRule="auto"/>
        <w:jc w:val="both"/>
        <w:rPr>
          <w:sz w:val="24"/>
          <w:szCs w:val="24"/>
        </w:rPr>
      </w:pPr>
    </w:p>
    <w:p w:rsidR="0024727F" w:rsidRDefault="00751EC0">
      <w:pPr>
        <w:pStyle w:val="normal0"/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PALAVRAS-CHAVE</w:t>
      </w:r>
    </w:p>
    <w:p w:rsidR="0024727F" w:rsidRDefault="00601FAF" w:rsidP="00601FAF">
      <w:pPr>
        <w:pStyle w:val="normal0"/>
        <w:keepLines/>
        <w:widowControl w:val="0"/>
        <w:spacing w:line="240" w:lineRule="auto"/>
        <w:jc w:val="both"/>
        <w:rPr>
          <w:sz w:val="24"/>
          <w:szCs w:val="24"/>
        </w:rPr>
      </w:pPr>
      <w:r w:rsidRPr="00601FAF">
        <w:t>Infâncias; Decolonialidade; Produção do conhecimento; Desenvolvimento infantil, Interseccionalidade.</w:t>
      </w:r>
    </w:p>
    <w:p w:rsidR="0024727F" w:rsidRDefault="0024727F">
      <w:pPr>
        <w:pStyle w:val="normal0"/>
        <w:keepLines/>
        <w:widowControl w:val="0"/>
        <w:spacing w:line="240" w:lineRule="auto"/>
        <w:rPr>
          <w:sz w:val="24"/>
          <w:szCs w:val="24"/>
        </w:rPr>
      </w:pPr>
    </w:p>
    <w:p w:rsidR="0024727F" w:rsidRDefault="0024727F">
      <w:pPr>
        <w:pStyle w:val="normal0"/>
        <w:keepLines/>
        <w:widowControl w:val="0"/>
        <w:spacing w:line="240" w:lineRule="auto"/>
        <w:rPr>
          <w:b/>
          <w:bCs/>
          <w:sz w:val="24"/>
          <w:szCs w:val="24"/>
        </w:rPr>
      </w:pPr>
    </w:p>
    <w:p w:rsidR="0024727F" w:rsidRDefault="00751EC0">
      <w:pPr>
        <w:pStyle w:val="normal0"/>
        <w:keepLines/>
        <w:widowControl w:val="0"/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REFERÊNCIAS</w:t>
      </w:r>
      <w:r>
        <w:rPr>
          <w:sz w:val="24"/>
          <w:szCs w:val="24"/>
        </w:rPr>
        <w:t xml:space="preserve"> </w:t>
      </w:r>
    </w:p>
    <w:p w:rsidR="00601FAF" w:rsidRDefault="00601FAF" w:rsidP="00601FAF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</w:rPr>
        <w:t xml:space="preserve">AKOTIRENE, Carla. </w:t>
      </w:r>
      <w:r>
        <w:rPr>
          <w:rFonts w:ascii="Arial" w:hAnsi="Arial" w:cs="Arial"/>
          <w:i/>
          <w:iCs/>
          <w:color w:val="000000"/>
        </w:rPr>
        <w:t>Interseccionalidade</w:t>
      </w:r>
      <w:r>
        <w:rPr>
          <w:rFonts w:ascii="Arial" w:hAnsi="Arial" w:cs="Arial"/>
          <w:color w:val="000000"/>
        </w:rPr>
        <w:t>. São Paulo: Pólen, 2019.</w:t>
      </w:r>
    </w:p>
    <w:p w:rsidR="00601FAF" w:rsidRDefault="00601FAF" w:rsidP="00601FAF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</w:rPr>
        <w:t xml:space="preserve">ARIÈS, Philippe. </w:t>
      </w:r>
      <w:r>
        <w:rPr>
          <w:rFonts w:ascii="Arial" w:hAnsi="Arial" w:cs="Arial"/>
          <w:i/>
          <w:iCs/>
          <w:color w:val="000000"/>
        </w:rPr>
        <w:t>História social da criança e da família</w:t>
      </w:r>
      <w:r>
        <w:rPr>
          <w:rFonts w:ascii="Arial" w:hAnsi="Arial" w:cs="Arial"/>
          <w:color w:val="000000"/>
        </w:rPr>
        <w:t>. 2. ed. Rio de Janeiro: LTC, 1981.</w:t>
      </w:r>
    </w:p>
    <w:p w:rsidR="00601FAF" w:rsidRDefault="00601FAF" w:rsidP="00601FAF">
      <w:pPr>
        <w:pStyle w:val="NormalWeb"/>
        <w:spacing w:before="240" w:beforeAutospacing="0" w:after="240" w:afterAutospacing="0"/>
      </w:pPr>
      <w:r w:rsidRPr="00601FAF">
        <w:rPr>
          <w:rFonts w:ascii="Arial" w:hAnsi="Arial" w:cs="Arial"/>
          <w:color w:val="000000"/>
          <w:lang w:val="en-US"/>
        </w:rPr>
        <w:t xml:space="preserve">CRENSHAW, Kimberlé. Demarginalizing the intersection of race and sex: a Black feminist critique of antidiscrimination doctrine, feminist theory and antiracist politics. </w:t>
      </w:r>
      <w:r w:rsidRPr="00601FAF">
        <w:rPr>
          <w:rFonts w:ascii="Arial" w:hAnsi="Arial" w:cs="Arial"/>
          <w:i/>
          <w:iCs/>
          <w:color w:val="000000"/>
        </w:rPr>
        <w:t>University of Chicago Legal Forum</w:t>
      </w:r>
      <w:r>
        <w:rPr>
          <w:rFonts w:ascii="Arial" w:hAnsi="Arial" w:cs="Arial"/>
          <w:color w:val="000000"/>
        </w:rPr>
        <w:t>, Chicago, v. 1989, n. 1, p. 139–167, 1989.</w:t>
      </w:r>
    </w:p>
    <w:p w:rsidR="00601FAF" w:rsidRDefault="00601FAF" w:rsidP="00601FAF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</w:rPr>
        <w:t xml:space="preserve">EVARISTO, Conceição. </w:t>
      </w:r>
      <w:r>
        <w:rPr>
          <w:rFonts w:ascii="Arial" w:hAnsi="Arial" w:cs="Arial"/>
          <w:i/>
          <w:iCs/>
          <w:color w:val="000000"/>
        </w:rPr>
        <w:t>Escrevivência: a escrita de nós</w:t>
      </w:r>
      <w:r>
        <w:rPr>
          <w:rFonts w:ascii="Arial" w:hAnsi="Arial" w:cs="Arial"/>
          <w:color w:val="000000"/>
        </w:rPr>
        <w:t>. Rio de Janeiro: Mina Comunicação e Arte, 2020.</w:t>
      </w:r>
    </w:p>
    <w:p w:rsidR="00601FAF" w:rsidRDefault="00601FAF" w:rsidP="00601FAF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</w:rPr>
        <w:t xml:space="preserve">QUIJANO, Aníbal. Colonialidade do poder, eurocentrismo e América Latina. In: LANDER, Edgardo (org.). </w:t>
      </w:r>
      <w:r>
        <w:rPr>
          <w:rFonts w:ascii="Arial" w:hAnsi="Arial" w:cs="Arial"/>
          <w:i/>
          <w:iCs/>
          <w:color w:val="000000"/>
        </w:rPr>
        <w:t>A colonialidade do saber: eurocentrismo e ciências sociais: perspectivas latino-americanas</w:t>
      </w:r>
      <w:r>
        <w:rPr>
          <w:rFonts w:ascii="Arial" w:hAnsi="Arial" w:cs="Arial"/>
          <w:color w:val="000000"/>
        </w:rPr>
        <w:t>. Buenos Aires: CLACSO, 2005. p. 117–142.</w:t>
      </w:r>
    </w:p>
    <w:p w:rsidR="00601FAF" w:rsidRDefault="00601FAF" w:rsidP="00601FAF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</w:rPr>
        <w:t xml:space="preserve">RUFINO, Luiz; SIMAS, Luiz Antonio. </w:t>
      </w:r>
      <w:r>
        <w:rPr>
          <w:rFonts w:ascii="Arial" w:hAnsi="Arial" w:cs="Arial"/>
          <w:i/>
          <w:iCs/>
          <w:color w:val="000000"/>
        </w:rPr>
        <w:t>Fogo no mato: a ciência encantada das macumbas</w:t>
      </w:r>
      <w:r>
        <w:rPr>
          <w:rFonts w:ascii="Arial" w:hAnsi="Arial" w:cs="Arial"/>
          <w:color w:val="000000"/>
        </w:rPr>
        <w:t>. Rio de Janeiro: Mórula, 2018.</w:t>
      </w:r>
    </w:p>
    <w:p w:rsidR="00601FAF" w:rsidRDefault="00601FAF" w:rsidP="00601FAF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</w:rPr>
        <w:t xml:space="preserve">SANTOS SOUZA, Neusa. </w:t>
      </w:r>
      <w:r>
        <w:rPr>
          <w:rFonts w:ascii="Arial" w:hAnsi="Arial" w:cs="Arial"/>
          <w:i/>
          <w:iCs/>
          <w:color w:val="000000"/>
        </w:rPr>
        <w:t xml:space="preserve">Tornar-se negro: as vicissitudes da identidade do negro </w:t>
      </w:r>
      <w:r w:rsidRPr="00601FAF">
        <w:rPr>
          <w:rFonts w:ascii="Arial" w:hAnsi="Arial" w:cs="Arial"/>
          <w:i/>
          <w:iCs/>
          <w:color w:val="000000"/>
        </w:rPr>
        <w:t>brasileiro em ascensão social</w:t>
      </w:r>
      <w:r w:rsidRPr="00601FAF">
        <w:rPr>
          <w:rFonts w:ascii="Arial" w:hAnsi="Arial" w:cs="Arial"/>
          <w:color w:val="000000"/>
        </w:rPr>
        <w:t>. Rio de Janeiro: Graal, 1983.</w:t>
      </w:r>
    </w:p>
    <w:p w:rsidR="00601FAF" w:rsidRPr="00601FAF" w:rsidRDefault="00601FAF" w:rsidP="00601FAF">
      <w:pPr>
        <w:pStyle w:val="NormalWeb"/>
        <w:spacing w:before="0" w:beforeAutospacing="0" w:after="200" w:afterAutospacing="0"/>
      </w:pPr>
      <w:r w:rsidRPr="00601FAF">
        <w:rPr>
          <w:rFonts w:ascii="Arial" w:hAnsi="Arial" w:cs="Arial"/>
          <w:iCs/>
          <w:color w:val="000000"/>
        </w:rPr>
        <w:lastRenderedPageBreak/>
        <w:t>SOUZA, Fernanda Cristina de; BASÍLIO, Priscila de Melo; MARCOLINO, Suzana</w:t>
      </w:r>
      <w:r>
        <w:rPr>
          <w:rFonts w:ascii="Arial" w:hAnsi="Arial" w:cs="Arial"/>
          <w:i/>
          <w:iCs/>
          <w:color w:val="000000"/>
        </w:rPr>
        <w:t>. Infâncias e epistemologias contra-hegemônicas: decolonialidade e interseccionalidade. </w:t>
      </w:r>
      <w:r w:rsidRPr="00601FAF">
        <w:rPr>
          <w:rFonts w:ascii="Arial" w:hAnsi="Arial" w:cs="Arial"/>
          <w:iCs/>
          <w:color w:val="000000"/>
        </w:rPr>
        <w:t>Perspectivas em Diálogo: Revista de Educação e Sociedade, Naviraí, v. 11, n. 28, p. 67-81, jul./set. 2024.</w:t>
      </w:r>
    </w:p>
    <w:p w:rsidR="00601FAF" w:rsidRDefault="00601FAF" w:rsidP="00601FAF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</w:rPr>
        <w:t xml:space="preserve">WALSH, Catherine. </w:t>
      </w:r>
      <w:r>
        <w:rPr>
          <w:rFonts w:ascii="Arial" w:hAnsi="Arial" w:cs="Arial"/>
          <w:i/>
          <w:iCs/>
          <w:color w:val="000000"/>
        </w:rPr>
        <w:t>Interculturalidad, Estado, sociedad: luchas (de)coloniales de nuestra época</w:t>
      </w:r>
      <w:r>
        <w:rPr>
          <w:rFonts w:ascii="Arial" w:hAnsi="Arial" w:cs="Arial"/>
          <w:color w:val="000000"/>
        </w:rPr>
        <w:t>. Quito: Universidad Andina Simón Bolívar; Abya-Yala, 2009.</w:t>
      </w:r>
    </w:p>
    <w:p w:rsidR="0024727F" w:rsidRDefault="0024727F">
      <w:pPr>
        <w:pStyle w:val="normal0"/>
      </w:pPr>
    </w:p>
    <w:p w:rsidR="007D2799" w:rsidRDefault="007D2799">
      <w:pPr>
        <w:pStyle w:val="normal0"/>
        <w:spacing w:after="200" w:line="240" w:lineRule="auto"/>
        <w:jc w:val="both"/>
        <w:rPr>
          <w:b/>
          <w:bCs/>
          <w:sz w:val="24"/>
          <w:szCs w:val="24"/>
        </w:rPr>
      </w:pPr>
    </w:p>
    <w:p w:rsidR="007D2799" w:rsidRPr="007D2799" w:rsidRDefault="007D2799" w:rsidP="007D2799"/>
    <w:p w:rsidR="007D2799" w:rsidRPr="007D2799" w:rsidRDefault="007D2799" w:rsidP="007D2799"/>
    <w:p w:rsidR="007D2799" w:rsidRPr="007D2799" w:rsidRDefault="007D2799" w:rsidP="007D2799"/>
    <w:p w:rsidR="007D2799" w:rsidRPr="007D2799" w:rsidRDefault="007D2799" w:rsidP="007D2799"/>
    <w:p w:rsidR="007D2799" w:rsidRPr="007D2799" w:rsidRDefault="007D2799" w:rsidP="007D2799"/>
    <w:p w:rsidR="007D2799" w:rsidRPr="007D2799" w:rsidRDefault="007D2799" w:rsidP="007D2799"/>
    <w:p w:rsidR="007D2799" w:rsidRPr="007D2799" w:rsidRDefault="007D2799" w:rsidP="007D2799"/>
    <w:p w:rsidR="007D2799" w:rsidRPr="007D2799" w:rsidRDefault="007D2799" w:rsidP="007D2799"/>
    <w:p w:rsidR="007D2799" w:rsidRPr="007D2799" w:rsidRDefault="007D2799" w:rsidP="007D2799"/>
    <w:p w:rsidR="007D2799" w:rsidRPr="007D2799" w:rsidRDefault="007D2799" w:rsidP="007D2799"/>
    <w:p w:rsidR="007D2799" w:rsidRPr="007D2799" w:rsidRDefault="007D2799" w:rsidP="007D2799"/>
    <w:p w:rsidR="007D2799" w:rsidRPr="007D2799" w:rsidRDefault="007D2799" w:rsidP="007D2799"/>
    <w:p w:rsidR="007D2799" w:rsidRPr="007D2799" w:rsidRDefault="007D2799" w:rsidP="007D2799"/>
    <w:p w:rsidR="007D2799" w:rsidRPr="007D2799" w:rsidRDefault="007D2799" w:rsidP="007D2799"/>
    <w:p w:rsidR="007D2799" w:rsidRPr="007D2799" w:rsidRDefault="007D2799" w:rsidP="007D2799"/>
    <w:p w:rsidR="007D2799" w:rsidRPr="007D2799" w:rsidRDefault="007D2799" w:rsidP="007D2799"/>
    <w:p w:rsidR="007D2799" w:rsidRPr="007D2799" w:rsidRDefault="007D2799" w:rsidP="007D2799"/>
    <w:p w:rsidR="007D2799" w:rsidRPr="007D2799" w:rsidRDefault="007D2799" w:rsidP="007D2799"/>
    <w:p w:rsidR="007D2799" w:rsidRPr="007D2799" w:rsidRDefault="007D2799" w:rsidP="007D2799"/>
    <w:p w:rsidR="007D2799" w:rsidRPr="007D2799" w:rsidRDefault="007D2799" w:rsidP="007D2799"/>
    <w:p w:rsidR="007D2799" w:rsidRPr="007D2799" w:rsidRDefault="007D2799" w:rsidP="007D2799"/>
    <w:p w:rsidR="007D2799" w:rsidRPr="007D2799" w:rsidRDefault="007D2799" w:rsidP="007D2799"/>
    <w:p w:rsidR="007D2799" w:rsidRPr="007D2799" w:rsidRDefault="007D2799" w:rsidP="007D2799"/>
    <w:p w:rsidR="007D2799" w:rsidRPr="007D2799" w:rsidRDefault="007D2799" w:rsidP="007D2799"/>
    <w:p w:rsidR="007D2799" w:rsidRPr="007D2799" w:rsidRDefault="007D2799" w:rsidP="007D2799"/>
    <w:p w:rsidR="0024727F" w:rsidRPr="007D2799" w:rsidRDefault="007D2799" w:rsidP="007D2799">
      <w:pPr>
        <w:tabs>
          <w:tab w:val="left" w:pos="2857"/>
        </w:tabs>
      </w:pPr>
      <w:r>
        <w:tab/>
      </w:r>
    </w:p>
    <w:sectPr w:rsidR="0024727F" w:rsidRPr="007D2799" w:rsidSect="0024727F">
      <w:headerReference w:type="default" r:id="rId7"/>
      <w:foot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51EC0" w:rsidRDefault="00751EC0" w:rsidP="0024727F">
      <w:pPr>
        <w:spacing w:line="240" w:lineRule="auto"/>
      </w:pPr>
      <w:r>
        <w:separator/>
      </w:r>
    </w:p>
  </w:endnote>
  <w:endnote w:type="continuationSeparator" w:id="1">
    <w:p w:rsidR="00751EC0" w:rsidRDefault="00751EC0" w:rsidP="0024727F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D478DF9-61ED-40DE-816A-E2391A1DC66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801565A-A3ED-4DB1-8715-0C5D21D4FF86}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727F" w:rsidRDefault="0024727F">
    <w:pPr>
      <w:pStyle w:val="normal0"/>
      <w:jc w:val="center"/>
    </w:pPr>
    <w:r>
      <w:fldChar w:fldCharType="begin"/>
    </w:r>
    <w:r w:rsidR="00751EC0">
      <w:instrText>PAGE</w:instrText>
    </w:r>
    <w:r w:rsidR="00691006">
      <w:fldChar w:fldCharType="separate"/>
    </w:r>
    <w:r w:rsidR="00736CA5">
      <w:rPr>
        <w:noProof/>
      </w:rPr>
      <w:t>1</w:t>
    </w:r>
    <w: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51EC0" w:rsidRDefault="00751EC0" w:rsidP="0024727F">
      <w:pPr>
        <w:spacing w:line="240" w:lineRule="auto"/>
      </w:pPr>
      <w:r>
        <w:separator/>
      </w:r>
    </w:p>
  </w:footnote>
  <w:footnote w:type="continuationSeparator" w:id="1">
    <w:p w:rsidR="00751EC0" w:rsidRDefault="00751EC0" w:rsidP="0024727F">
      <w:pPr>
        <w:spacing w:line="240" w:lineRule="auto"/>
      </w:pPr>
      <w:r>
        <w:continuationSeparator/>
      </w:r>
    </w:p>
  </w:footnote>
  <w:footnote w:id="2">
    <w:p w:rsidR="007D2799" w:rsidRDefault="007D2799">
      <w:pPr>
        <w:pStyle w:val="Textodenotaderodap"/>
      </w:pPr>
      <w:r>
        <w:rPr>
          <w:rStyle w:val="Refdenotaderodap"/>
        </w:rPr>
        <w:footnoteRef/>
      </w:r>
      <w:r>
        <w:t xml:space="preserve"> Este trabalho foi orientado pela</w:t>
      </w:r>
      <w:r w:rsidR="0027202F">
        <w:t>s</w:t>
      </w:r>
      <w:r>
        <w:t xml:space="preserve"> professora</w:t>
      </w:r>
      <w:r w:rsidR="0027202F">
        <w:t>s</w:t>
      </w:r>
      <w:r>
        <w:t xml:space="preserve"> </w:t>
      </w:r>
      <w:r w:rsidR="0027202F">
        <w:t>Wilsa Maria Ramos e Cândida Maria Bezerra Dantas, ambas do Departamento de Psicologia Escolar e do Desenvolvimento (PED) da Universidade de Brasília.</w:t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727F" w:rsidRDefault="00751EC0">
    <w:pPr>
      <w:pStyle w:val="normal0"/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allowOverlap="1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allowOverlap="1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24727F" w:rsidRDefault="0024727F">
    <w:pPr>
      <w:pStyle w:val="normal0"/>
      <w:jc w:val="right"/>
    </w:pPr>
  </w:p>
  <w:p w:rsidR="0024727F" w:rsidRDefault="0024727F">
    <w:pPr>
      <w:pStyle w:val="normal0"/>
      <w:jc w:val="right"/>
    </w:pPr>
  </w:p>
  <w:p w:rsidR="0024727F" w:rsidRDefault="00751EC0">
    <w:pPr>
      <w:pStyle w:val="normal0"/>
    </w:pPr>
    <w:r>
      <w:rPr>
        <w:noProof/>
      </w:rPr>
      <w:drawing>
        <wp:anchor distT="114300" distB="114300" distL="114300" distR="114300" simplePos="0" relativeHeight="251660288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3"/>
  <w:embedTrueTypeFonts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4727F"/>
    <w:rsid w:val="0024727F"/>
    <w:rsid w:val="0027202F"/>
    <w:rsid w:val="00593407"/>
    <w:rsid w:val="00601FAF"/>
    <w:rsid w:val="00650CA6"/>
    <w:rsid w:val="00691006"/>
    <w:rsid w:val="00736CA5"/>
    <w:rsid w:val="00751EC0"/>
    <w:rsid w:val="007D2799"/>
    <w:rsid w:val="00E956F1"/>
    <w:rsid w:val="00EE6104"/>
    <w:rsid w:val="00F665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0"/>
    <w:next w:val="normal0"/>
    <w:rsid w:val="0024727F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0"/>
    <w:next w:val="normal0"/>
    <w:rsid w:val="0024727F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0"/>
    <w:next w:val="normal0"/>
    <w:rsid w:val="0024727F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0"/>
    <w:next w:val="normal0"/>
    <w:rsid w:val="0024727F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0"/>
    <w:next w:val="normal0"/>
    <w:rsid w:val="0024727F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0"/>
    <w:next w:val="normal0"/>
    <w:rsid w:val="0024727F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rsid w:val="0024727F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24727F"/>
  </w:style>
  <w:style w:type="paragraph" w:styleId="Ttulo">
    <w:name w:val="Title"/>
    <w:basedOn w:val="normal0"/>
    <w:next w:val="normal0"/>
    <w:rsid w:val="0024727F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0"/>
    <w:next w:val="normal0"/>
    <w:rsid w:val="0024727F"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601F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semiHidden/>
    <w:unhideWhenUsed/>
    <w:rsid w:val="007D2799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7D2799"/>
  </w:style>
  <w:style w:type="paragraph" w:styleId="Rodap">
    <w:name w:val="footer"/>
    <w:basedOn w:val="Normal"/>
    <w:link w:val="RodapChar"/>
    <w:uiPriority w:val="99"/>
    <w:semiHidden/>
    <w:unhideWhenUsed/>
    <w:rsid w:val="007D2799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7D2799"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7D2799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7D2799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7D2799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35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96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0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3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1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1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3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3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5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5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8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7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9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459980-F6C0-47B2-8CEB-E2BAFBDE6E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Resumo Expandido_Escutar as Infâncias_uma Reflexão Decolonial sobre Conhecimento, Desenvolvimento e Diferença</Template>
  <TotalTime>4</TotalTime>
  <Pages>5</Pages>
  <Words>1299</Words>
  <Characters>7018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Empresa</Company>
  <LinksUpToDate>false</LinksUpToDate>
  <CharactersWithSpaces>8301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Usuário</cp:lastModifiedBy>
  <cp:revision>3</cp:revision>
  <dcterms:created xsi:type="dcterms:W3CDTF">2026-08-06T17:44:00Z</dcterms:created>
  <dcterms:modified xsi:type="dcterms:W3CDTF">2026-08-06T17:46:00Z</dcterms:modified>
</cp:coreProperties>
</file>