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C886B" w14:textId="3C098A4C" w:rsidR="00EB273E" w:rsidRPr="00BF4084" w:rsidRDefault="00CA45A2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BF4084">
        <w:rPr>
          <w:b/>
          <w:bCs/>
          <w:sz w:val="24"/>
          <w:szCs w:val="24"/>
        </w:rPr>
        <w:t>CONVERSATÓRIO 1 – EDUCAÇÃO INDÍGENA, EDUCAÇAÕ ESCOLAR INDÍGENA E INTERCULTURALIDADE: NARRATIVAS, EXPERIÊNCIAS E CAMINHOS DE TRNASFORMAÇÃO</w:t>
      </w:r>
    </w:p>
    <w:p w14:paraId="26BE588D" w14:textId="77777777" w:rsidR="00EB273E" w:rsidRPr="00BF4084" w:rsidRDefault="00EB273E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F57EB91" w14:textId="7DB5B5D5" w:rsidR="00EB273E" w:rsidRPr="00BF4084" w:rsidRDefault="00CA45A2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BF4084">
        <w:rPr>
          <w:b/>
          <w:bCs/>
          <w:sz w:val="24"/>
          <w:szCs w:val="24"/>
        </w:rPr>
        <w:t>REEDUCAR PARA AVANÇAR: Como o conhecimento histórico se constitui como mecanismo de preservação de direitos? Uma análise sobre os Wassu Cocal na Guerra do Paraguai</w:t>
      </w:r>
    </w:p>
    <w:p w14:paraId="45C3D785" w14:textId="77777777" w:rsidR="00EB273E" w:rsidRPr="00BF4084" w:rsidRDefault="00EB273E">
      <w:pPr>
        <w:keepLines/>
        <w:widowControl w:val="0"/>
        <w:spacing w:line="240" w:lineRule="auto"/>
        <w:rPr>
          <w:sz w:val="24"/>
          <w:szCs w:val="24"/>
        </w:rPr>
      </w:pPr>
    </w:p>
    <w:p w14:paraId="052FE662" w14:textId="77777777" w:rsidR="00EB273E" w:rsidRPr="00BF4084" w:rsidRDefault="00EB273E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3A2E28FC" w14:textId="5D9ED57E" w:rsidR="00CA45A2" w:rsidRPr="00C70A26" w:rsidRDefault="00CA45A2" w:rsidP="004219A5">
      <w:pPr>
        <w:keepLines/>
        <w:widowControl w:val="0"/>
        <w:spacing w:line="240" w:lineRule="auto"/>
        <w:ind w:left="720"/>
        <w:jc w:val="right"/>
        <w:rPr>
          <w:sz w:val="20"/>
          <w:szCs w:val="20"/>
        </w:rPr>
      </w:pPr>
      <w:r w:rsidRPr="00C70A26">
        <w:rPr>
          <w:sz w:val="20"/>
          <w:szCs w:val="20"/>
        </w:rPr>
        <w:t xml:space="preserve">Eduardo </w:t>
      </w:r>
      <w:proofErr w:type="spellStart"/>
      <w:r w:rsidRPr="00C70A26">
        <w:rPr>
          <w:sz w:val="20"/>
          <w:szCs w:val="20"/>
        </w:rPr>
        <w:t>Wassu</w:t>
      </w:r>
      <w:proofErr w:type="spellEnd"/>
      <w:r w:rsidRPr="00C70A26">
        <w:rPr>
          <w:sz w:val="20"/>
          <w:szCs w:val="20"/>
        </w:rPr>
        <w:t>, Universidade de Brasília (</w:t>
      </w:r>
      <w:r w:rsidR="0009724C" w:rsidRPr="00C70A26">
        <w:rPr>
          <w:sz w:val="20"/>
          <w:szCs w:val="20"/>
        </w:rPr>
        <w:t>FD/</w:t>
      </w:r>
      <w:r w:rsidRPr="00C70A26">
        <w:rPr>
          <w:sz w:val="20"/>
          <w:szCs w:val="20"/>
        </w:rPr>
        <w:t xml:space="preserve">UnB), </w:t>
      </w:r>
      <w:hyperlink r:id="rId6" w:history="1">
        <w:r w:rsidR="004D716A" w:rsidRPr="00C70A26">
          <w:rPr>
            <w:rStyle w:val="Hyperlink"/>
            <w:sz w:val="20"/>
            <w:szCs w:val="20"/>
          </w:rPr>
          <w:t>antonio-eduardo.ea@aluno.unb.br</w:t>
        </w:r>
      </w:hyperlink>
    </w:p>
    <w:p w14:paraId="0BDFDE04" w14:textId="3831B61C" w:rsidR="00EB273E" w:rsidRPr="00BF4084" w:rsidRDefault="00EB273E" w:rsidP="004D716A">
      <w:pPr>
        <w:keepLines/>
        <w:widowControl w:val="0"/>
        <w:spacing w:line="240" w:lineRule="auto"/>
        <w:jc w:val="right"/>
        <w:rPr>
          <w:sz w:val="20"/>
          <w:szCs w:val="20"/>
        </w:rPr>
      </w:pPr>
    </w:p>
    <w:p w14:paraId="26550969" w14:textId="77777777" w:rsidR="00EB273E" w:rsidRPr="00BF4084" w:rsidRDefault="00EB273E" w:rsidP="00CA45A2">
      <w:pPr>
        <w:keepLines/>
        <w:widowControl w:val="0"/>
        <w:spacing w:line="240" w:lineRule="auto"/>
        <w:jc w:val="right"/>
        <w:rPr>
          <w:sz w:val="20"/>
          <w:szCs w:val="20"/>
        </w:rPr>
      </w:pPr>
    </w:p>
    <w:p w14:paraId="2756BF56" w14:textId="77777777" w:rsidR="00EB273E" w:rsidRPr="00BF4084" w:rsidRDefault="00EB273E" w:rsidP="00CA45A2">
      <w:pPr>
        <w:keepLines/>
        <w:widowControl w:val="0"/>
        <w:spacing w:line="360" w:lineRule="auto"/>
        <w:jc w:val="right"/>
        <w:rPr>
          <w:b/>
          <w:bCs/>
          <w:sz w:val="20"/>
          <w:szCs w:val="20"/>
        </w:rPr>
      </w:pPr>
    </w:p>
    <w:p w14:paraId="45F716F1" w14:textId="77777777" w:rsidR="00EB273E" w:rsidRPr="00BF4084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 w:rsidRPr="00BF4084">
        <w:rPr>
          <w:b/>
          <w:bCs/>
          <w:sz w:val="24"/>
          <w:szCs w:val="24"/>
        </w:rPr>
        <w:t>RESUMO</w:t>
      </w:r>
    </w:p>
    <w:p w14:paraId="50B99ADC" w14:textId="19E84E5F" w:rsidR="00884320" w:rsidRPr="004219A5" w:rsidRDefault="0009724C" w:rsidP="005412B3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BF4084">
        <w:rPr>
          <w:b/>
          <w:bCs/>
          <w:sz w:val="24"/>
          <w:szCs w:val="24"/>
        </w:rPr>
        <w:tab/>
      </w:r>
      <w:r w:rsidRPr="004219A5">
        <w:rPr>
          <w:sz w:val="24"/>
          <w:szCs w:val="24"/>
        </w:rPr>
        <w:t xml:space="preserve">Este trabalho </w:t>
      </w:r>
      <w:r w:rsidR="00884320" w:rsidRPr="004219A5">
        <w:rPr>
          <w:sz w:val="24"/>
          <w:szCs w:val="24"/>
        </w:rPr>
        <w:t xml:space="preserve">investiga como o conhecimento histórico se constitui como mecanismo de preservação de direitos, tomando com ocaso a participação do povo Wassu Cocal na Guerra do Paraguai (1864-1870). Escrito por um indígena do próprio povo, acadêmico da Faculdade de Direito da Universidade de Brasília (FD/UnB), o estudo parte da premissa de que reeducar o olhar sobre essa história, a partir da memória oral, da perspectiva do próprio povo e das contribuições acadêmicas é condição para avançar na afirmação identitária e na garantia de direitos territoriais históricos. </w:t>
      </w:r>
      <w:r w:rsidR="00F44FD0" w:rsidRPr="004219A5">
        <w:rPr>
          <w:sz w:val="24"/>
          <w:szCs w:val="24"/>
        </w:rPr>
        <w:t>O debate ganha urgência diante de um cenário político de recrudescimento conservador, marcado por retrocessos como o Projeto de Lei nº 490/2007, em contraste com o entendimento do Supremo Tribunal Federal</w:t>
      </w:r>
      <w:r w:rsidR="00D07C83" w:rsidRPr="004219A5">
        <w:rPr>
          <w:sz w:val="24"/>
          <w:szCs w:val="24"/>
        </w:rPr>
        <w:t xml:space="preserve"> (STF) </w:t>
      </w:r>
      <w:r w:rsidR="00F44FD0" w:rsidRPr="004219A5">
        <w:rPr>
          <w:sz w:val="24"/>
          <w:szCs w:val="24"/>
        </w:rPr>
        <w:t>no Recurso Extraordinário nº 1.017.365 (Tema 1.03</w:t>
      </w:r>
      <w:r w:rsidR="00710D55">
        <w:rPr>
          <w:sz w:val="24"/>
          <w:szCs w:val="24"/>
        </w:rPr>
        <w:t>1)</w:t>
      </w:r>
      <w:r w:rsidR="00F44FD0" w:rsidRPr="004219A5">
        <w:rPr>
          <w:sz w:val="24"/>
          <w:szCs w:val="24"/>
        </w:rPr>
        <w:t xml:space="preserve"> que reafirma, de acordo com o voto</w:t>
      </w:r>
      <w:r w:rsidR="00710D55">
        <w:rPr>
          <w:sz w:val="24"/>
          <w:szCs w:val="24"/>
        </w:rPr>
        <w:t xml:space="preserve"> do Min. Edson Fachin, a “demarcação como procedimento declaratório do direito originário e </w:t>
      </w:r>
      <w:r w:rsidR="00710D55" w:rsidRPr="004219A5">
        <w:rPr>
          <w:sz w:val="24"/>
          <w:szCs w:val="24"/>
        </w:rPr>
        <w:t>ocupação</w:t>
      </w:r>
      <w:r w:rsidR="00F44FD0" w:rsidRPr="004219A5">
        <w:rPr>
          <w:sz w:val="24"/>
          <w:szCs w:val="24"/>
        </w:rPr>
        <w:t xml:space="preserve"> das terras indígenas</w:t>
      </w:r>
      <w:r w:rsidR="00710D55">
        <w:rPr>
          <w:sz w:val="24"/>
          <w:szCs w:val="24"/>
        </w:rPr>
        <w:t>”</w:t>
      </w:r>
      <w:r w:rsidR="00F44FD0" w:rsidRPr="004219A5">
        <w:rPr>
          <w:sz w:val="24"/>
          <w:szCs w:val="24"/>
        </w:rPr>
        <w:t xml:space="preserve">. </w:t>
      </w:r>
    </w:p>
    <w:p w14:paraId="1504A0E6" w14:textId="1385F9F9" w:rsidR="00D07C83" w:rsidRPr="004219A5" w:rsidRDefault="00F44FD0" w:rsidP="00D07C83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4219A5">
        <w:rPr>
          <w:sz w:val="24"/>
          <w:szCs w:val="24"/>
        </w:rPr>
        <w:t>Do ponto de vista historiográfico, situa-se a participação dos Wassu na analítica do recrutamento forçado, promovido pelo Império por meio do Decreto nº</w:t>
      </w:r>
      <w:r w:rsidR="00D07C83" w:rsidRPr="004219A5">
        <w:rPr>
          <w:sz w:val="24"/>
          <w:szCs w:val="24"/>
        </w:rPr>
        <w:t xml:space="preserve"> </w:t>
      </w:r>
      <w:r w:rsidRPr="004219A5">
        <w:rPr>
          <w:sz w:val="24"/>
          <w:szCs w:val="24"/>
        </w:rPr>
        <w:t>3.371/1865, que instituiu à época, o chamados “Voluntários da Pátria”. Demonstra-se, com base em Silva (2015), que essa designação mascarava efetivamente, um alistamento coercitivo, exercido sobretudo sobre populaçõe</w:t>
      </w:r>
      <w:r w:rsidR="0048586C" w:rsidRPr="004219A5">
        <w:rPr>
          <w:sz w:val="24"/>
          <w:szCs w:val="24"/>
        </w:rPr>
        <w:t xml:space="preserve">s que </w:t>
      </w:r>
      <w:r w:rsidR="00D07C83" w:rsidRPr="004219A5">
        <w:rPr>
          <w:sz w:val="24"/>
          <w:szCs w:val="24"/>
        </w:rPr>
        <w:t>se encontravam</w:t>
      </w:r>
      <w:r w:rsidR="0048586C" w:rsidRPr="004219A5">
        <w:rPr>
          <w:sz w:val="24"/>
          <w:szCs w:val="24"/>
        </w:rPr>
        <w:t xml:space="preserve"> às margens do sistema, marginalizadas por ele, isto é, populações negras e indígenas. Essa marginalização pode ser compreendida à luz da colonialidade do poder, na medida em que, como pontua </w:t>
      </w:r>
      <w:r w:rsidR="004219A5" w:rsidRPr="004219A5">
        <w:rPr>
          <w:sz w:val="24"/>
          <w:szCs w:val="24"/>
        </w:rPr>
        <w:t>Quijano</w:t>
      </w:r>
      <w:r w:rsidR="0048586C" w:rsidRPr="004219A5">
        <w:rPr>
          <w:sz w:val="24"/>
          <w:szCs w:val="24"/>
        </w:rPr>
        <w:t xml:space="preserve"> (2005, p.135), “a construção da nação e sobretudo do Estado nação </w:t>
      </w:r>
      <w:r w:rsidR="00D07C83" w:rsidRPr="004219A5">
        <w:rPr>
          <w:sz w:val="24"/>
          <w:szCs w:val="24"/>
        </w:rPr>
        <w:t>foram conceitualizadas e trabalhadas contra a maioria da população”, e da missão civilizatória eurocêntrica, que tratou povos indígenas e negro</w:t>
      </w:r>
    </w:p>
    <w:p w14:paraId="19C0F873" w14:textId="6F12E434" w:rsidR="00D07C83" w:rsidRPr="004219A5" w:rsidRDefault="0034057B" w:rsidP="00D07C83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4219A5">
        <w:rPr>
          <w:sz w:val="24"/>
          <w:szCs w:val="24"/>
        </w:rPr>
        <w:lastRenderedPageBreak/>
        <w:t>o</w:t>
      </w:r>
      <w:r w:rsidR="00D07C83" w:rsidRPr="004219A5">
        <w:rPr>
          <w:sz w:val="24"/>
          <w:szCs w:val="24"/>
        </w:rPr>
        <w:t xml:space="preserve">ra como </w:t>
      </w:r>
      <w:r w:rsidRPr="004219A5">
        <w:rPr>
          <w:sz w:val="24"/>
          <w:szCs w:val="24"/>
        </w:rPr>
        <w:t xml:space="preserve">obstáculo ao projeto de nação (LANDER, 2005, p. 13). Com a transição da Monarquia para a República, essa lógica não se dissolveu: conforme Cunha (2012, p. 33), instaurou-se uma hegemonia do progresso “diante do qual os índios eram empecilhos”, o que contribuiu para o esvaziamento jurídico dos títulos imperiais de terra. </w:t>
      </w:r>
    </w:p>
    <w:p w14:paraId="242DC3A7" w14:textId="778DB4C2" w:rsidR="0034057B" w:rsidRPr="004219A5" w:rsidRDefault="0034057B" w:rsidP="00D07C83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4219A5">
        <w:rPr>
          <w:sz w:val="24"/>
          <w:szCs w:val="24"/>
        </w:rPr>
        <w:tab/>
        <w:t>À historiografia documental contrapõe-se a tradição oral como biblioteca viva da aldeia. Resgatam-se depoimentos de anciãos Wassu – Seu Zuca (PEREIRA, 2005) e Manuel Honório</w:t>
      </w:r>
      <w:r w:rsidR="007C27F6" w:rsidRPr="004219A5">
        <w:rPr>
          <w:sz w:val="24"/>
          <w:szCs w:val="24"/>
        </w:rPr>
        <w:t xml:space="preserve"> da Silva (ANTUNES, 1985), além do relatório da Antropóloga </w:t>
      </w:r>
      <w:r w:rsidR="00741CF1" w:rsidRPr="004219A5">
        <w:rPr>
          <w:sz w:val="24"/>
          <w:szCs w:val="24"/>
        </w:rPr>
        <w:t xml:space="preserve">Delvair Montagner Melatti, que registram a figura do Capitão Antônio de Souza Salazar, os nomes das índias Juruta e Cambonja e a doação imperial de quatro léguas de terra em reconhecimento aos serviços prestados na Guerra. No relato de Seu Zuca, colhido por Pereira (2005, p. 7), a memória da bravura de Salazar atravessa, notadamente, gerações até a atualidade: “[...] ele só recebia aquelas pancadas de bala e nenhuma atingia ele[...]”. Destaca-se, ainda, a materialidade dessa memória </w:t>
      </w:r>
      <w:r w:rsidR="00D13754" w:rsidRPr="004219A5">
        <w:rPr>
          <w:sz w:val="24"/>
          <w:szCs w:val="24"/>
        </w:rPr>
        <w:t xml:space="preserve">– a espada doada ao Capitão Salazar, transmitida de geração em geração até os avós desse autor – como prova viva da participação Wassu no conflito e </w:t>
      </w:r>
      <w:r w:rsidR="00EF458B" w:rsidRPr="004219A5">
        <w:rPr>
          <w:sz w:val="24"/>
          <w:szCs w:val="24"/>
        </w:rPr>
        <w:t>fundamento</w:t>
      </w:r>
      <w:r w:rsidR="00D13754" w:rsidRPr="004219A5">
        <w:rPr>
          <w:sz w:val="24"/>
          <w:szCs w:val="24"/>
        </w:rPr>
        <w:t xml:space="preserve"> da </w:t>
      </w:r>
      <w:r w:rsidR="00EF458B" w:rsidRPr="004219A5">
        <w:rPr>
          <w:sz w:val="24"/>
          <w:szCs w:val="24"/>
        </w:rPr>
        <w:t xml:space="preserve">reivindicação </w:t>
      </w:r>
      <w:r w:rsidR="00D13754" w:rsidRPr="004219A5">
        <w:rPr>
          <w:sz w:val="24"/>
          <w:szCs w:val="24"/>
        </w:rPr>
        <w:t xml:space="preserve">territorial que culminaria, apenas em 1986, na demarcação da Terra Indígena Wassu Cocal (Decreto nº 93.331 de 02 de outubro </w:t>
      </w:r>
      <w:r w:rsidR="00EF458B" w:rsidRPr="004219A5">
        <w:rPr>
          <w:sz w:val="24"/>
          <w:szCs w:val="24"/>
        </w:rPr>
        <w:t>de 1986</w:t>
      </w:r>
      <w:r w:rsidR="00D13754" w:rsidRPr="004219A5">
        <w:rPr>
          <w:sz w:val="24"/>
          <w:szCs w:val="24"/>
        </w:rPr>
        <w:t xml:space="preserve">), após mais de um século de disputa decorrentes do extravio do título de doação em cartório particular. </w:t>
      </w:r>
    </w:p>
    <w:p w14:paraId="561430AC" w14:textId="10713481" w:rsidR="004B491A" w:rsidRPr="004219A5" w:rsidRDefault="00D13754" w:rsidP="004219A5">
      <w:pPr>
        <w:pStyle w:val="Corpodetexto2"/>
      </w:pPr>
      <w:r w:rsidRPr="004219A5">
        <w:tab/>
        <w:t xml:space="preserve">O trabalho evidencia, ainda, o papel central da </w:t>
      </w:r>
      <w:r w:rsidR="00EF458B" w:rsidRPr="004219A5">
        <w:t>Educação</w:t>
      </w:r>
      <w:r w:rsidRPr="004219A5">
        <w:t xml:space="preserve"> Escolar Indígena e Diferenciada (Lei nº 11.645/2008</w:t>
      </w:r>
      <w:r w:rsidR="00B70055">
        <w:t>;</w:t>
      </w:r>
      <w:r w:rsidRPr="004219A5">
        <w:t xml:space="preserve"> Decreto nº 6.861/2009) na transmissão intergeracional dessa memória e na formação de sujeitos capazes de reivindicar, por meio da conhecimento histórico, seus direito</w:t>
      </w:r>
      <w:r w:rsidR="00EF458B" w:rsidRPr="004219A5">
        <w:t>s, o que dialoga com a tese do “Direito Achado na Rua” (LYRA FILHO, 1984) – aqui ressignificaria como “Direito Achado na Aldeia” – e com a reflexão de Baniwa sobre o ensino superior indígena como forma de incrementar suas capacidades de negociação, pressão e intervenção dentro e fora de suas comunidades” (BANIWA, 2009, p. 41). Nessa perspectiva, escrever essa história a partir de dentro da aldeia e da universidade constitui, simultaneamente, exercício de autoconhecimento e instrumento de luta, pois somente o domínio da própria história – e não sua mera transmissão empírica em rodas de conversa e aulas tradicionais</w:t>
      </w:r>
      <w:r w:rsidR="004B491A" w:rsidRPr="004219A5">
        <w:t xml:space="preserve"> – sustenta, ainda hoje, a defesa da titularidade das terras Wassu frente a </w:t>
      </w:r>
    </w:p>
    <w:p w14:paraId="7E227793" w14:textId="66F3BEDC" w:rsidR="004B491A" w:rsidRPr="004219A5" w:rsidRDefault="004B491A" w:rsidP="00D07C83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4219A5">
        <w:rPr>
          <w:sz w:val="24"/>
          <w:szCs w:val="24"/>
        </w:rPr>
        <w:lastRenderedPageBreak/>
        <w:t xml:space="preserve">um cenário político de retrocessos. </w:t>
      </w:r>
    </w:p>
    <w:p w14:paraId="5380B9BE" w14:textId="02B16D9A" w:rsidR="004B491A" w:rsidRPr="004219A5" w:rsidRDefault="004B491A" w:rsidP="00D07C83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4219A5">
        <w:rPr>
          <w:sz w:val="24"/>
          <w:szCs w:val="24"/>
        </w:rPr>
        <w:tab/>
        <w:t>Por fim, o trabalho propõe, como provocação à comunidade acadêmica indígena, a documentação sistemática e coletiva dos anciãos ainda vivo, entendendo que a produção de provas orais e materiais é, também, a produção de segurança jurídica para os direitos territoriais. C</w:t>
      </w:r>
      <w:r w:rsidR="00603D49" w:rsidRPr="004219A5">
        <w:rPr>
          <w:sz w:val="24"/>
          <w:szCs w:val="24"/>
        </w:rPr>
        <w:t xml:space="preserve">onclui-se que não se preservam direitos sem conhecer a própria história, e que a educação escolar indígena, ancorada nos seus princípios de interculturalidade e nas oralidades e materialidades preservadas, segue sendo o principal mecanismo de preservação étnica e de direitos conquistados pelo povo Wassu Cocal. </w:t>
      </w:r>
    </w:p>
    <w:p w14:paraId="4AE8FC07" w14:textId="54C79C79" w:rsidR="00D07C83" w:rsidRPr="004219A5" w:rsidRDefault="00D07C83" w:rsidP="00D07C83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55D6A4D3" w14:textId="77777777" w:rsidR="00EB273E" w:rsidRPr="00BF4084" w:rsidRDefault="00EB273E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267E0826" w14:textId="77777777" w:rsidR="00EB273E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BF4084">
        <w:rPr>
          <w:b/>
          <w:bCs/>
          <w:sz w:val="24"/>
          <w:szCs w:val="24"/>
        </w:rPr>
        <w:t>PALAVRAS-CHAVE</w:t>
      </w:r>
    </w:p>
    <w:p w14:paraId="2D73C7D7" w14:textId="219DA398" w:rsidR="00BF4084" w:rsidRPr="00BF4084" w:rsidRDefault="00BF4084" w:rsidP="00BF4084">
      <w:pPr>
        <w:pStyle w:val="Corpodetexto"/>
        <w:rPr>
          <w:b w:val="0"/>
          <w:bCs w:val="0"/>
        </w:rPr>
      </w:pPr>
      <w:r w:rsidRPr="00BF4084">
        <w:rPr>
          <w:b w:val="0"/>
          <w:bCs w:val="0"/>
        </w:rPr>
        <w:t xml:space="preserve">Wassu Cocal; Historiografia; </w:t>
      </w:r>
      <w:r w:rsidR="00603D49">
        <w:rPr>
          <w:b w:val="0"/>
          <w:bCs w:val="0"/>
        </w:rPr>
        <w:t>Guerra do Paraguai;</w:t>
      </w:r>
      <w:r w:rsidR="00087929">
        <w:rPr>
          <w:b w:val="0"/>
          <w:bCs w:val="0"/>
        </w:rPr>
        <w:t xml:space="preserve"> </w:t>
      </w:r>
      <w:r w:rsidRPr="00BF4084">
        <w:rPr>
          <w:b w:val="0"/>
          <w:bCs w:val="0"/>
        </w:rPr>
        <w:t>Povos Indígenas; Educação Escolar Indígena; Direitos.</w:t>
      </w:r>
    </w:p>
    <w:p w14:paraId="04F5BE4E" w14:textId="77777777" w:rsidR="00EB273E" w:rsidRPr="00BF4084" w:rsidRDefault="00EB273E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1D5DEC9" w14:textId="77777777" w:rsidR="00603D49" w:rsidRDefault="00603D49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2926829" w14:textId="6BC64F1C" w:rsidR="00EB273E" w:rsidRPr="00BF4084" w:rsidRDefault="00000000">
      <w:pPr>
        <w:keepLines/>
        <w:widowControl w:val="0"/>
        <w:spacing w:line="240" w:lineRule="auto"/>
        <w:rPr>
          <w:sz w:val="24"/>
          <w:szCs w:val="24"/>
        </w:rPr>
      </w:pPr>
      <w:r w:rsidRPr="00BF4084">
        <w:rPr>
          <w:b/>
          <w:bCs/>
          <w:sz w:val="24"/>
          <w:szCs w:val="24"/>
        </w:rPr>
        <w:t>REFERÊNCIAS</w:t>
      </w:r>
      <w:r w:rsidRPr="00BF4084">
        <w:rPr>
          <w:sz w:val="24"/>
          <w:szCs w:val="24"/>
        </w:rPr>
        <w:t xml:space="preserve"> </w:t>
      </w:r>
    </w:p>
    <w:p w14:paraId="5C729EEB" w14:textId="77777777" w:rsidR="004219A5" w:rsidRDefault="004219A5" w:rsidP="00C37978">
      <w:pPr>
        <w:spacing w:after="393" w:line="240" w:lineRule="auto"/>
        <w:ind w:left="-5" w:right="2"/>
        <w:jc w:val="both"/>
      </w:pPr>
    </w:p>
    <w:p w14:paraId="4AF5AC3D" w14:textId="5A85DCC0" w:rsidR="004219A5" w:rsidRPr="00710D55" w:rsidRDefault="00BF4084" w:rsidP="00C37978">
      <w:pPr>
        <w:spacing w:after="393" w:line="240" w:lineRule="auto"/>
        <w:ind w:left="-5" w:right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0D55">
        <w:rPr>
          <w:sz w:val="24"/>
          <w:szCs w:val="24"/>
        </w:rPr>
        <w:t xml:space="preserve">ALMEIDA, Maria R. C. de. </w:t>
      </w:r>
      <w:r w:rsidRPr="00710D55">
        <w:rPr>
          <w:rFonts w:ascii="Times New Roman" w:eastAsia="Times New Roman" w:hAnsi="Times New Roman" w:cs="Times New Roman"/>
          <w:b/>
          <w:sz w:val="24"/>
          <w:szCs w:val="24"/>
        </w:rPr>
        <w:t>Os índios na História do Brasil</w:t>
      </w:r>
      <w:r w:rsidRPr="00710D55">
        <w:rPr>
          <w:sz w:val="24"/>
          <w:szCs w:val="24"/>
        </w:rPr>
        <w:t>. Rio de Janeiro: FGV, 2010.</w:t>
      </w:r>
      <w:r w:rsidRPr="00710D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E4D5C0" w14:textId="0D6A8825" w:rsidR="000C3E02" w:rsidRPr="00710D55" w:rsidRDefault="00BF4084" w:rsidP="00C37978">
      <w:pPr>
        <w:spacing w:after="393" w:line="240" w:lineRule="auto"/>
        <w:ind w:left="-5" w:right="2"/>
        <w:jc w:val="both"/>
        <w:rPr>
          <w:sz w:val="24"/>
          <w:szCs w:val="24"/>
        </w:rPr>
      </w:pPr>
      <w:r w:rsidRPr="00710D55">
        <w:rPr>
          <w:sz w:val="24"/>
          <w:szCs w:val="24"/>
        </w:rPr>
        <w:t>ANTUNES, Clóvis</w:t>
      </w:r>
      <w:r w:rsidRPr="00710D55">
        <w:rPr>
          <w:rFonts w:ascii="Times New Roman" w:eastAsia="Times New Roman" w:hAnsi="Times New Roman" w:cs="Times New Roman"/>
          <w:b/>
          <w:sz w:val="24"/>
          <w:szCs w:val="24"/>
        </w:rPr>
        <w:t>. Índios de Alagoas: documentário</w:t>
      </w:r>
      <w:r w:rsidRPr="00710D55">
        <w:rPr>
          <w:sz w:val="24"/>
          <w:szCs w:val="24"/>
        </w:rPr>
        <w:t>. Maceió: EDUFAL, 1984</w:t>
      </w:r>
      <w:r w:rsidR="000C3E02" w:rsidRPr="00710D55">
        <w:rPr>
          <w:sz w:val="24"/>
          <w:szCs w:val="24"/>
        </w:rPr>
        <w:t xml:space="preserve">. </w:t>
      </w:r>
    </w:p>
    <w:p w14:paraId="354AB0B9" w14:textId="77777777" w:rsidR="004219A5" w:rsidRPr="00710D55" w:rsidRDefault="00BF4084" w:rsidP="00C37978">
      <w:pPr>
        <w:spacing w:after="393" w:line="240" w:lineRule="auto"/>
        <w:ind w:left="-5" w:right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0D55">
        <w:rPr>
          <w:sz w:val="24"/>
          <w:szCs w:val="24"/>
        </w:rPr>
        <w:t xml:space="preserve">ANTUNES, Clóvis. </w:t>
      </w:r>
      <w:r w:rsidRPr="00710D55">
        <w:rPr>
          <w:rFonts w:ascii="Times New Roman" w:eastAsia="Times New Roman" w:hAnsi="Times New Roman" w:cs="Times New Roman"/>
          <w:b/>
          <w:sz w:val="24"/>
          <w:szCs w:val="24"/>
        </w:rPr>
        <w:t>Tribo Wassu: os caboclos do Cocal</w:t>
      </w:r>
      <w:r w:rsidRPr="00710D55">
        <w:rPr>
          <w:sz w:val="24"/>
          <w:szCs w:val="24"/>
        </w:rPr>
        <w:t xml:space="preserve">. Maceió, 1985. Livro não publicado. Disponível em: </w:t>
      </w:r>
      <w:hyperlink r:id="rId7">
        <w:r w:rsidRPr="00710D55">
          <w:rPr>
            <w:color w:val="467886"/>
            <w:sz w:val="24"/>
            <w:szCs w:val="24"/>
            <w:u w:val="single" w:color="467886"/>
          </w:rPr>
          <w:t>acervo do GPHIAL/UNEAL</w:t>
        </w:r>
      </w:hyperlink>
      <w:hyperlink r:id="rId8">
        <w:r w:rsidRPr="00710D55">
          <w:rPr>
            <w:color w:val="467886"/>
            <w:sz w:val="24"/>
            <w:szCs w:val="24"/>
            <w:u w:val="single" w:color="467886"/>
          </w:rPr>
          <w:t>-</w:t>
        </w:r>
      </w:hyperlink>
      <w:hyperlink r:id="rId9">
        <w:r w:rsidRPr="00710D55">
          <w:rPr>
            <w:color w:val="467886"/>
            <w:sz w:val="24"/>
            <w:szCs w:val="24"/>
            <w:u w:val="single" w:color="467886"/>
          </w:rPr>
          <w:t>Palmeira dos Índios</w:t>
        </w:r>
      </w:hyperlink>
      <w:hyperlink r:id="rId10">
        <w:r w:rsidRPr="00710D55">
          <w:rPr>
            <w:sz w:val="24"/>
            <w:szCs w:val="24"/>
          </w:rPr>
          <w:t>.</w:t>
        </w:r>
      </w:hyperlink>
      <w:r w:rsidRPr="00710D55">
        <w:rPr>
          <w:sz w:val="24"/>
          <w:szCs w:val="24"/>
        </w:rPr>
        <w:t xml:space="preserve"> Acesso em:  16 mar. 2026.</w:t>
      </w:r>
      <w:r w:rsidRPr="00710D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0FBC84" w14:textId="72515584" w:rsidR="000C3E02" w:rsidRPr="00710D55" w:rsidRDefault="00BF4084" w:rsidP="00C37978">
      <w:pPr>
        <w:spacing w:after="393" w:line="240" w:lineRule="auto"/>
        <w:ind w:left="-5" w:right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0D55">
        <w:rPr>
          <w:sz w:val="24"/>
          <w:szCs w:val="24"/>
        </w:rPr>
        <w:t xml:space="preserve">BANIWA, Gersem Luciano. </w:t>
      </w:r>
      <w:r w:rsidRPr="00710D55">
        <w:rPr>
          <w:b/>
          <w:bCs/>
          <w:sz w:val="24"/>
          <w:szCs w:val="24"/>
        </w:rPr>
        <w:t>Movimentos e políticas indígenas no Brasil contemporâneo.</w:t>
      </w:r>
      <w:r w:rsidRPr="00710D55">
        <w:rPr>
          <w:sz w:val="24"/>
          <w:szCs w:val="24"/>
        </w:rPr>
        <w:t xml:space="preserve"> </w:t>
      </w:r>
      <w:r w:rsidRPr="00710D55">
        <w:rPr>
          <w:rFonts w:ascii="Times New Roman" w:eastAsia="Times New Roman" w:hAnsi="Times New Roman" w:cs="Times New Roman"/>
          <w:bCs/>
          <w:sz w:val="24"/>
          <w:szCs w:val="24"/>
        </w:rPr>
        <w:t>Tellus</w:t>
      </w:r>
      <w:r w:rsidRPr="00710D55">
        <w:rPr>
          <w:sz w:val="24"/>
          <w:szCs w:val="24"/>
        </w:rPr>
        <w:t>, p. 127-146, 2007.</w:t>
      </w:r>
      <w:r w:rsidRPr="00710D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1B0CF7" w14:textId="18C7905F" w:rsidR="00710D55" w:rsidRPr="00710D55" w:rsidRDefault="00710D55" w:rsidP="00C37978">
      <w:pPr>
        <w:spacing w:after="393" w:line="240" w:lineRule="auto"/>
        <w:ind w:left="-5" w:right="2"/>
        <w:jc w:val="both"/>
        <w:rPr>
          <w:rFonts w:eastAsia="Times New Roman"/>
          <w:sz w:val="24"/>
          <w:szCs w:val="24"/>
        </w:rPr>
      </w:pPr>
      <w:r w:rsidRPr="00710D55">
        <w:rPr>
          <w:rFonts w:eastAsia="Times New Roman"/>
          <w:b/>
          <w:bCs/>
          <w:sz w:val="24"/>
          <w:szCs w:val="24"/>
        </w:rPr>
        <w:t>BRASIL. Supremo Tribunal Federal (Plenário).</w:t>
      </w:r>
      <w:r w:rsidRPr="00710D55">
        <w:rPr>
          <w:rFonts w:eastAsia="Times New Roman"/>
          <w:sz w:val="24"/>
          <w:szCs w:val="24"/>
        </w:rPr>
        <w:t xml:space="preserve"> Recurso Extraordinário n. 1.017.365/SC (Tema 1.031 da Repercussão Geral). Relator: Ministro Edson Fachin. Julgamento em 21 set. 2023. Brasília, DF: Supremo Tribunal Federal, 2023. Disponível em: </w:t>
      </w:r>
      <w:hyperlink r:id="rId11" w:history="1">
        <w:r w:rsidRPr="001B672B">
          <w:rPr>
            <w:rStyle w:val="Hyperlink"/>
            <w:rFonts w:eastAsia="Times New Roman"/>
            <w:sz w:val="24"/>
            <w:szCs w:val="24"/>
          </w:rPr>
          <w:t>https://portal.stf.jus.br/jurisprudenciaRepercussao/verAndamentoProcesso.asp?incidente=5109720&amp;numeroProcesso=1017365</w:t>
        </w:r>
      </w:hyperlink>
      <w:r w:rsidRPr="00710D55">
        <w:rPr>
          <w:rFonts w:eastAsia="Times New Roman"/>
          <w:sz w:val="24"/>
          <w:szCs w:val="24"/>
        </w:rPr>
        <w:t>.</w:t>
      </w:r>
      <w:r>
        <w:rPr>
          <w:rFonts w:eastAsia="Times New Roman"/>
          <w:sz w:val="24"/>
          <w:szCs w:val="24"/>
        </w:rPr>
        <w:t xml:space="preserve"> </w:t>
      </w:r>
      <w:r w:rsidRPr="00710D55">
        <w:rPr>
          <w:rFonts w:eastAsia="Times New Roman"/>
          <w:sz w:val="24"/>
          <w:szCs w:val="24"/>
        </w:rPr>
        <w:t xml:space="preserve"> Acesso em: </w:t>
      </w:r>
      <w:r>
        <w:rPr>
          <w:rFonts w:eastAsia="Times New Roman"/>
          <w:sz w:val="24"/>
          <w:szCs w:val="24"/>
        </w:rPr>
        <w:t>21 jun</w:t>
      </w:r>
      <w:r w:rsidRPr="00710D55">
        <w:rPr>
          <w:rFonts w:eastAsia="Times New Roman"/>
          <w:sz w:val="24"/>
          <w:szCs w:val="24"/>
        </w:rPr>
        <w:t>. 2026.</w:t>
      </w:r>
    </w:p>
    <w:p w14:paraId="1A230B38" w14:textId="17F6B6CF" w:rsidR="00C37978" w:rsidRPr="00710D55" w:rsidRDefault="00BF4084" w:rsidP="004219A5">
      <w:pPr>
        <w:spacing w:after="393" w:line="240" w:lineRule="auto"/>
        <w:ind w:left="-5" w:right="2"/>
        <w:jc w:val="both"/>
        <w:rPr>
          <w:sz w:val="24"/>
          <w:szCs w:val="24"/>
        </w:rPr>
      </w:pPr>
      <w:r w:rsidRPr="00710D55">
        <w:rPr>
          <w:sz w:val="24"/>
          <w:szCs w:val="24"/>
        </w:rPr>
        <w:t xml:space="preserve">BRASIL. Decreto nº 3.371, de 7 de janeiro de 1865. Crêa Corpos para o serviço da guerra, compostos de voluntários. </w:t>
      </w:r>
      <w:r w:rsidRPr="00710D55">
        <w:rPr>
          <w:rFonts w:ascii="Times New Roman" w:eastAsia="Times New Roman" w:hAnsi="Times New Roman" w:cs="Times New Roman"/>
          <w:b/>
          <w:sz w:val="24"/>
          <w:szCs w:val="24"/>
        </w:rPr>
        <w:t>Coleção de Leis do Império do Brasil</w:t>
      </w:r>
      <w:r w:rsidRPr="00710D55">
        <w:rPr>
          <w:sz w:val="24"/>
          <w:szCs w:val="24"/>
        </w:rPr>
        <w:t xml:space="preserve">, Rio de Janeiro, 1865. Disponível em: </w:t>
      </w:r>
      <w:hyperlink r:id="rId12">
        <w:r w:rsidRPr="00710D55">
          <w:rPr>
            <w:color w:val="467886"/>
            <w:sz w:val="24"/>
            <w:szCs w:val="24"/>
            <w:u w:val="single" w:color="467886"/>
          </w:rPr>
          <w:t>https://www2.camara.leg.br/legin/fed/decret/1824</w:t>
        </w:r>
      </w:hyperlink>
      <w:hyperlink r:id="rId13">
        <w:r w:rsidRPr="00710D55">
          <w:rPr>
            <w:color w:val="467886"/>
            <w:sz w:val="24"/>
            <w:szCs w:val="24"/>
            <w:u w:val="single" w:color="467886"/>
          </w:rPr>
          <w:t>-</w:t>
        </w:r>
      </w:hyperlink>
      <w:hyperlink r:id="rId14">
        <w:r w:rsidRPr="00710D55">
          <w:rPr>
            <w:color w:val="467886"/>
            <w:sz w:val="24"/>
            <w:szCs w:val="24"/>
            <w:u w:val="single" w:color="467886"/>
          </w:rPr>
          <w:t>1899/decreto</w:t>
        </w:r>
      </w:hyperlink>
      <w:hyperlink r:id="rId15">
        <w:r w:rsidRPr="00710D55">
          <w:rPr>
            <w:color w:val="467886"/>
            <w:sz w:val="24"/>
            <w:szCs w:val="24"/>
            <w:u w:val="single" w:color="467886"/>
          </w:rPr>
          <w:t>-</w:t>
        </w:r>
      </w:hyperlink>
      <w:hyperlink r:id="rId16">
        <w:r w:rsidRPr="00710D55">
          <w:rPr>
            <w:color w:val="467886"/>
            <w:sz w:val="24"/>
            <w:szCs w:val="24"/>
            <w:u w:val="single" w:color="467886"/>
          </w:rPr>
          <w:t>3371</w:t>
        </w:r>
      </w:hyperlink>
      <w:hyperlink r:id="rId17">
        <w:r w:rsidRPr="00710D55">
          <w:rPr>
            <w:color w:val="467886"/>
            <w:sz w:val="24"/>
            <w:szCs w:val="24"/>
            <w:u w:val="single" w:color="467886"/>
          </w:rPr>
          <w:t>-</w:t>
        </w:r>
      </w:hyperlink>
      <w:hyperlink r:id="rId18">
        <w:r w:rsidRPr="00710D55">
          <w:rPr>
            <w:color w:val="467886"/>
            <w:sz w:val="24"/>
            <w:szCs w:val="24"/>
            <w:u w:val="single" w:color="467886"/>
          </w:rPr>
          <w:t>7</w:t>
        </w:r>
      </w:hyperlink>
      <w:hyperlink r:id="rId19"/>
      <w:hyperlink r:id="rId20">
        <w:r w:rsidRPr="00710D55">
          <w:rPr>
            <w:color w:val="467886"/>
            <w:sz w:val="24"/>
            <w:szCs w:val="24"/>
            <w:u w:val="single" w:color="467886"/>
          </w:rPr>
          <w:t>janeiro</w:t>
        </w:r>
      </w:hyperlink>
      <w:hyperlink r:id="rId21">
        <w:r w:rsidRPr="00710D55">
          <w:rPr>
            <w:color w:val="467886"/>
            <w:sz w:val="24"/>
            <w:szCs w:val="24"/>
            <w:u w:val="single" w:color="467886"/>
          </w:rPr>
          <w:t>-</w:t>
        </w:r>
      </w:hyperlink>
      <w:hyperlink r:id="rId22">
        <w:r w:rsidRPr="00710D55">
          <w:rPr>
            <w:color w:val="467886"/>
            <w:sz w:val="24"/>
            <w:szCs w:val="24"/>
            <w:u w:val="single" w:color="467886"/>
          </w:rPr>
          <w:t>1865</w:t>
        </w:r>
      </w:hyperlink>
      <w:hyperlink r:id="rId23">
        <w:r w:rsidRPr="00710D55">
          <w:rPr>
            <w:color w:val="467886"/>
            <w:sz w:val="24"/>
            <w:szCs w:val="24"/>
            <w:u w:val="single" w:color="467886"/>
          </w:rPr>
          <w:t>-</w:t>
        </w:r>
      </w:hyperlink>
      <w:hyperlink r:id="rId24">
        <w:r w:rsidRPr="00710D55">
          <w:rPr>
            <w:color w:val="467886"/>
            <w:sz w:val="24"/>
            <w:szCs w:val="24"/>
            <w:u w:val="single" w:color="467886"/>
          </w:rPr>
          <w:t>554492</w:t>
        </w:r>
      </w:hyperlink>
      <w:hyperlink r:id="rId25">
        <w:r w:rsidRPr="00710D55">
          <w:rPr>
            <w:color w:val="467886"/>
            <w:sz w:val="24"/>
            <w:szCs w:val="24"/>
            <w:u w:val="single" w:color="467886"/>
          </w:rPr>
          <w:t>-</w:t>
        </w:r>
      </w:hyperlink>
      <w:hyperlink r:id="rId26">
        <w:r w:rsidRPr="00710D55">
          <w:rPr>
            <w:color w:val="467886"/>
            <w:sz w:val="24"/>
            <w:szCs w:val="24"/>
            <w:u w:val="single" w:color="467886"/>
          </w:rPr>
          <w:t>publicacaooriginal</w:t>
        </w:r>
      </w:hyperlink>
      <w:hyperlink r:id="rId27">
        <w:r w:rsidRPr="00710D55">
          <w:rPr>
            <w:color w:val="467886"/>
            <w:sz w:val="24"/>
            <w:szCs w:val="24"/>
            <w:u w:val="single" w:color="467886"/>
          </w:rPr>
          <w:t>-</w:t>
        </w:r>
      </w:hyperlink>
      <w:hyperlink r:id="rId28">
        <w:r w:rsidRPr="00710D55">
          <w:rPr>
            <w:color w:val="467886"/>
            <w:sz w:val="24"/>
            <w:szCs w:val="24"/>
            <w:u w:val="single" w:color="467886"/>
          </w:rPr>
          <w:t>73111</w:t>
        </w:r>
      </w:hyperlink>
      <w:hyperlink r:id="rId29">
        <w:r w:rsidRPr="00710D55">
          <w:rPr>
            <w:color w:val="467886"/>
            <w:sz w:val="24"/>
            <w:szCs w:val="24"/>
            <w:u w:val="single" w:color="467886"/>
          </w:rPr>
          <w:t>-</w:t>
        </w:r>
      </w:hyperlink>
      <w:hyperlink r:id="rId30">
        <w:r w:rsidRPr="00710D55">
          <w:rPr>
            <w:color w:val="467886"/>
            <w:sz w:val="24"/>
            <w:szCs w:val="24"/>
            <w:u w:val="single" w:color="467886"/>
          </w:rPr>
          <w:t>pe.html</w:t>
        </w:r>
      </w:hyperlink>
      <w:hyperlink r:id="rId31">
        <w:r w:rsidRPr="00710D55">
          <w:rPr>
            <w:sz w:val="24"/>
            <w:szCs w:val="24"/>
          </w:rPr>
          <w:t>.</w:t>
        </w:r>
      </w:hyperlink>
      <w:r w:rsidR="004219A5" w:rsidRPr="00710D55">
        <w:rPr>
          <w:sz w:val="24"/>
          <w:szCs w:val="24"/>
        </w:rPr>
        <w:t xml:space="preserve"> </w:t>
      </w:r>
      <w:r w:rsidRPr="00710D55">
        <w:rPr>
          <w:sz w:val="24"/>
          <w:szCs w:val="24"/>
        </w:rPr>
        <w:t>Acesso em: 10 jun. 2026.</w:t>
      </w:r>
      <w:r w:rsidRPr="00710D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15A521" w14:textId="7F34D31D" w:rsidR="000C3E02" w:rsidRPr="00710D55" w:rsidRDefault="00BF4084" w:rsidP="00C37978">
      <w:pPr>
        <w:spacing w:after="393" w:line="240" w:lineRule="auto"/>
        <w:ind w:left="-5" w:right="2"/>
        <w:jc w:val="both"/>
        <w:rPr>
          <w:sz w:val="24"/>
          <w:szCs w:val="24"/>
        </w:rPr>
      </w:pPr>
      <w:r w:rsidRPr="00710D55">
        <w:rPr>
          <w:b/>
          <w:bCs/>
          <w:sz w:val="24"/>
          <w:szCs w:val="24"/>
        </w:rPr>
        <w:t>BRASIL</w:t>
      </w:r>
      <w:r w:rsidRPr="00710D55">
        <w:rPr>
          <w:sz w:val="24"/>
          <w:szCs w:val="24"/>
        </w:rPr>
        <w:t xml:space="preserve">. Constituição (1988). </w:t>
      </w:r>
      <w:r w:rsidRPr="00710D55">
        <w:rPr>
          <w:rFonts w:ascii="Times New Roman" w:eastAsia="Times New Roman" w:hAnsi="Times New Roman" w:cs="Times New Roman"/>
          <w:b/>
          <w:sz w:val="24"/>
          <w:szCs w:val="24"/>
        </w:rPr>
        <w:t>Constituição da República Federativa do Brasil de 1988</w:t>
      </w:r>
      <w:r w:rsidRPr="00710D55">
        <w:rPr>
          <w:sz w:val="24"/>
          <w:szCs w:val="24"/>
        </w:rPr>
        <w:t>. Brasília, DF: Presidência da República, 1988. Disponível em:</w:t>
      </w:r>
      <w:r w:rsidR="00C37978" w:rsidRPr="00710D55">
        <w:rPr>
          <w:sz w:val="24"/>
          <w:szCs w:val="24"/>
        </w:rPr>
        <w:t xml:space="preserve"> </w:t>
      </w:r>
      <w:hyperlink r:id="rId32" w:history="1">
        <w:r w:rsidR="00C37978" w:rsidRPr="00710D55">
          <w:rPr>
            <w:rStyle w:val="Hyperlink"/>
            <w:sz w:val="24"/>
            <w:szCs w:val="24"/>
          </w:rPr>
          <w:t>http://www.planalto.gov.br/ccivil_03/constituicao/constituicao.htm</w:t>
        </w:r>
      </w:hyperlink>
      <w:hyperlink r:id="rId33">
        <w:r w:rsidRPr="00710D55">
          <w:rPr>
            <w:sz w:val="24"/>
            <w:szCs w:val="24"/>
          </w:rPr>
          <w:t>.</w:t>
        </w:r>
      </w:hyperlink>
      <w:r w:rsidRPr="00710D55">
        <w:rPr>
          <w:sz w:val="24"/>
          <w:szCs w:val="24"/>
        </w:rPr>
        <w:t xml:space="preserve"> Acesso em: 20 jun. </w:t>
      </w:r>
      <w:r w:rsidR="00C37978" w:rsidRPr="00710D55">
        <w:rPr>
          <w:sz w:val="24"/>
          <w:szCs w:val="24"/>
        </w:rPr>
        <w:t xml:space="preserve"> –</w:t>
      </w:r>
      <w:r w:rsidRPr="00710D55">
        <w:rPr>
          <w:sz w:val="24"/>
          <w:szCs w:val="24"/>
        </w:rPr>
        <w:t>2026.</w:t>
      </w:r>
      <w:r w:rsidRPr="00710D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F3C6E5" w14:textId="77777777" w:rsidR="000C3E02" w:rsidRPr="00710D55" w:rsidRDefault="00BF4084" w:rsidP="00C37978">
      <w:pPr>
        <w:spacing w:after="393" w:line="240" w:lineRule="auto"/>
        <w:ind w:left="-5" w:right="2"/>
        <w:jc w:val="both"/>
        <w:rPr>
          <w:sz w:val="24"/>
          <w:szCs w:val="24"/>
        </w:rPr>
      </w:pPr>
      <w:r w:rsidRPr="00710D55">
        <w:rPr>
          <w:sz w:val="24"/>
          <w:szCs w:val="24"/>
        </w:rPr>
        <w:t xml:space="preserve">CUNHA, Manuela Carneiro da. </w:t>
      </w:r>
      <w:r w:rsidRPr="00710D55">
        <w:rPr>
          <w:rFonts w:ascii="Times New Roman" w:eastAsia="Times New Roman" w:hAnsi="Times New Roman" w:cs="Times New Roman"/>
          <w:b/>
          <w:sz w:val="24"/>
          <w:szCs w:val="24"/>
        </w:rPr>
        <w:t>Índios no Brasil: história, direitos e cidadania</w:t>
      </w:r>
      <w:r w:rsidRPr="00710D55">
        <w:rPr>
          <w:sz w:val="24"/>
          <w:szCs w:val="24"/>
        </w:rPr>
        <w:t>. 1. ed. São Paulo: Claro Enigma, 2012.</w:t>
      </w:r>
      <w:r w:rsidRPr="00710D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3C5496" w14:textId="77777777" w:rsidR="004219A5" w:rsidRPr="00710D55" w:rsidRDefault="00BF4084" w:rsidP="004219A5">
      <w:pPr>
        <w:spacing w:after="393" w:line="240" w:lineRule="auto"/>
        <w:ind w:left="-5" w:right="2"/>
        <w:jc w:val="both"/>
        <w:rPr>
          <w:sz w:val="24"/>
          <w:szCs w:val="24"/>
        </w:rPr>
      </w:pPr>
      <w:r w:rsidRPr="00710D55">
        <w:rPr>
          <w:sz w:val="24"/>
          <w:szCs w:val="24"/>
        </w:rPr>
        <w:t xml:space="preserve">LYRA FILHO, Roberto. </w:t>
      </w:r>
      <w:r w:rsidRPr="00710D55">
        <w:rPr>
          <w:rFonts w:ascii="Times New Roman" w:eastAsia="Times New Roman" w:hAnsi="Times New Roman" w:cs="Times New Roman"/>
          <w:b/>
          <w:sz w:val="24"/>
          <w:szCs w:val="24"/>
        </w:rPr>
        <w:t>Pesquisa em (Que) Direito?</w:t>
      </w:r>
      <w:r w:rsidRPr="00710D55">
        <w:rPr>
          <w:sz w:val="24"/>
          <w:szCs w:val="24"/>
        </w:rPr>
        <w:t xml:space="preserve"> Brasília: Edições Nair Ltda, 1984.</w:t>
      </w:r>
      <w:r w:rsidRPr="00710D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0F993F" w14:textId="42CC789F" w:rsidR="000C3E02" w:rsidRPr="00710D55" w:rsidRDefault="00BF4084" w:rsidP="004219A5">
      <w:pPr>
        <w:spacing w:after="393" w:line="240" w:lineRule="auto"/>
        <w:ind w:left="-5" w:right="2"/>
        <w:jc w:val="both"/>
        <w:rPr>
          <w:sz w:val="24"/>
          <w:szCs w:val="24"/>
        </w:rPr>
      </w:pPr>
      <w:r w:rsidRPr="00710D55">
        <w:rPr>
          <w:sz w:val="24"/>
          <w:szCs w:val="24"/>
        </w:rPr>
        <w:t xml:space="preserve">PEREIRA, Flávia Ruas Fernandes. </w:t>
      </w:r>
      <w:r w:rsidRPr="00710D55">
        <w:rPr>
          <w:rFonts w:ascii="Times New Roman" w:eastAsia="Times New Roman" w:hAnsi="Times New Roman" w:cs="Times New Roman"/>
          <w:b/>
          <w:sz w:val="24"/>
          <w:szCs w:val="24"/>
        </w:rPr>
        <w:t>Os Wassú Cocal: um estudo de caso sobre a (re)construção de identidades coletivas</w:t>
      </w:r>
      <w:r w:rsidRPr="00710D55">
        <w:rPr>
          <w:sz w:val="24"/>
          <w:szCs w:val="24"/>
        </w:rPr>
        <w:t>. Recife: UFPE, 2005.</w:t>
      </w:r>
      <w:r w:rsidRPr="00710D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782731" w14:textId="77777777" w:rsidR="000C3E02" w:rsidRPr="00710D55" w:rsidRDefault="00BF4084" w:rsidP="00C37978">
      <w:pPr>
        <w:spacing w:after="393" w:line="240" w:lineRule="auto"/>
        <w:ind w:left="-5" w:right="2"/>
        <w:jc w:val="both"/>
        <w:rPr>
          <w:sz w:val="24"/>
          <w:szCs w:val="24"/>
        </w:rPr>
      </w:pPr>
      <w:r w:rsidRPr="00710D55">
        <w:rPr>
          <w:sz w:val="24"/>
          <w:szCs w:val="24"/>
        </w:rPr>
        <w:t xml:space="preserve">SILVA, Edson. “A história contada pelos que voltaram”: história e memórias indígenas no Nordeste sobre a Guerra do Paraguai. </w:t>
      </w:r>
      <w:r w:rsidRPr="00710D55">
        <w:rPr>
          <w:rFonts w:ascii="Times New Roman" w:eastAsia="Times New Roman" w:hAnsi="Times New Roman" w:cs="Times New Roman"/>
          <w:b/>
          <w:sz w:val="24"/>
          <w:szCs w:val="24"/>
        </w:rPr>
        <w:t>Diálogos-Revista do Departamento de História e do Programa de Pós-Graduação em História</w:t>
      </w:r>
      <w:r w:rsidRPr="00710D55">
        <w:rPr>
          <w:sz w:val="24"/>
          <w:szCs w:val="24"/>
        </w:rPr>
        <w:t>, v. 19, n. 3, p. 1043-1063, 2015.</w:t>
      </w:r>
      <w:r w:rsidRPr="00710D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5A83F3" w14:textId="77777777" w:rsidR="000C3E02" w:rsidRPr="00710D55" w:rsidRDefault="00BF4084" w:rsidP="00C37978">
      <w:pPr>
        <w:spacing w:after="393" w:line="240" w:lineRule="auto"/>
        <w:ind w:left="-5" w:right="2"/>
        <w:jc w:val="both"/>
        <w:rPr>
          <w:sz w:val="24"/>
          <w:szCs w:val="24"/>
        </w:rPr>
      </w:pPr>
      <w:r w:rsidRPr="00710D55">
        <w:rPr>
          <w:sz w:val="24"/>
          <w:szCs w:val="24"/>
        </w:rPr>
        <w:t xml:space="preserve">LANDER, Edgardo (org.). </w:t>
      </w:r>
      <w:r w:rsidRPr="00710D55">
        <w:rPr>
          <w:rFonts w:ascii="Times New Roman" w:eastAsia="Times New Roman" w:hAnsi="Times New Roman" w:cs="Times New Roman"/>
          <w:b/>
          <w:sz w:val="24"/>
          <w:szCs w:val="24"/>
        </w:rPr>
        <w:t>A colonialidade do saber</w:t>
      </w:r>
      <w:r w:rsidRPr="00710D55">
        <w:rPr>
          <w:sz w:val="24"/>
          <w:szCs w:val="24"/>
        </w:rPr>
        <w:t>: eurocentrismo e ciências sociais. Perspectivas latino-americanas. Ciudad Autónoma de Buenos Aires: CLACSO, 2005.</w:t>
      </w:r>
      <w:r w:rsidRPr="00710D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6707DF" w14:textId="77777777" w:rsidR="000C3E02" w:rsidRPr="00710D55" w:rsidRDefault="00BF4084" w:rsidP="00C37978">
      <w:pPr>
        <w:spacing w:after="393" w:line="240" w:lineRule="auto"/>
        <w:ind w:left="-5" w:right="2"/>
        <w:jc w:val="both"/>
        <w:rPr>
          <w:sz w:val="24"/>
          <w:szCs w:val="24"/>
        </w:rPr>
      </w:pPr>
      <w:r w:rsidRPr="00710D55">
        <w:rPr>
          <w:sz w:val="24"/>
          <w:szCs w:val="24"/>
        </w:rPr>
        <w:t xml:space="preserve">LANDER, Edgardo. Ciências sociais: saberes coloniais e eurocêntricos. In: LANDER, Edgardo (org.). </w:t>
      </w:r>
      <w:r w:rsidRPr="00710D55">
        <w:rPr>
          <w:rFonts w:ascii="Times New Roman" w:eastAsia="Times New Roman" w:hAnsi="Times New Roman" w:cs="Times New Roman"/>
          <w:b/>
          <w:sz w:val="24"/>
          <w:szCs w:val="24"/>
        </w:rPr>
        <w:t>A colonialidade do saber</w:t>
      </w:r>
      <w:r w:rsidRPr="00710D55">
        <w:rPr>
          <w:sz w:val="24"/>
          <w:szCs w:val="24"/>
        </w:rPr>
        <w:t>: eurocentrismo e ciências sociais. Perspectivas latino-americanas. Ciudad Autónoma de Buenos Aires: CLACSO, 2005. p. 24-53.</w:t>
      </w:r>
      <w:r w:rsidRPr="00710D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01B7C7" w14:textId="77777777" w:rsidR="000C3E02" w:rsidRPr="00710D55" w:rsidRDefault="00BF4084" w:rsidP="00C37978">
      <w:pPr>
        <w:spacing w:after="393" w:line="240" w:lineRule="auto"/>
        <w:ind w:left="-5" w:right="2"/>
        <w:jc w:val="both"/>
        <w:rPr>
          <w:sz w:val="24"/>
          <w:szCs w:val="24"/>
        </w:rPr>
      </w:pPr>
      <w:r w:rsidRPr="00710D55">
        <w:rPr>
          <w:sz w:val="24"/>
          <w:szCs w:val="24"/>
        </w:rPr>
        <w:t xml:space="preserve">PORTO-GONÇALVES, Carlos Walter. Apresentação da edição em português. In: LANDER, Edgardo (org.). </w:t>
      </w:r>
      <w:r w:rsidRPr="00710D55">
        <w:rPr>
          <w:rFonts w:ascii="Times New Roman" w:eastAsia="Times New Roman" w:hAnsi="Times New Roman" w:cs="Times New Roman"/>
          <w:b/>
          <w:sz w:val="24"/>
          <w:szCs w:val="24"/>
        </w:rPr>
        <w:t>A colonialidade do saber</w:t>
      </w:r>
      <w:r w:rsidRPr="00710D55">
        <w:rPr>
          <w:sz w:val="24"/>
          <w:szCs w:val="24"/>
        </w:rPr>
        <w:t xml:space="preserve">: eurocentrismo e ciências sociais. </w:t>
      </w:r>
      <w:r w:rsidR="000C3E02" w:rsidRPr="00710D55">
        <w:rPr>
          <w:sz w:val="24"/>
          <w:szCs w:val="24"/>
        </w:rPr>
        <w:t xml:space="preserve"> </w:t>
      </w:r>
      <w:r w:rsidRPr="00710D55">
        <w:rPr>
          <w:sz w:val="24"/>
          <w:szCs w:val="24"/>
        </w:rPr>
        <w:t>Perspectivas latino-americanas. Ciudad Autónoma de Buenos Aires: CLACSO, 2005. p. 1-15.</w:t>
      </w:r>
      <w:r w:rsidRPr="00710D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814A9D" w14:textId="27F421F7" w:rsidR="00BF4084" w:rsidRPr="00710D55" w:rsidRDefault="00BF4084" w:rsidP="00C37978">
      <w:pPr>
        <w:spacing w:after="393" w:line="240" w:lineRule="auto"/>
        <w:ind w:left="-5" w:right="2"/>
        <w:jc w:val="both"/>
        <w:rPr>
          <w:sz w:val="24"/>
          <w:szCs w:val="24"/>
        </w:rPr>
      </w:pPr>
      <w:r w:rsidRPr="00710D55">
        <w:rPr>
          <w:sz w:val="24"/>
          <w:szCs w:val="24"/>
        </w:rPr>
        <w:t xml:space="preserve">QUIJANO, Aníbal. Colonialidade do poder, eurocentrismo e América Latina. In: LANDER, Edgardo (org.). </w:t>
      </w:r>
      <w:r w:rsidRPr="00710D55">
        <w:rPr>
          <w:rFonts w:ascii="Times New Roman" w:eastAsia="Times New Roman" w:hAnsi="Times New Roman" w:cs="Times New Roman"/>
          <w:b/>
          <w:sz w:val="24"/>
          <w:szCs w:val="24"/>
        </w:rPr>
        <w:t>A colonialidade do saber</w:t>
      </w:r>
      <w:r w:rsidRPr="00710D55">
        <w:rPr>
          <w:sz w:val="24"/>
          <w:szCs w:val="24"/>
        </w:rPr>
        <w:t>: eurocentrismo e ciências sociais. Perspectivas latino-americanas. Ciudad Autónoma de Buenos Aires: CLACSO, 2005. p. 116-142.</w:t>
      </w:r>
      <w:r w:rsidRPr="00710D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94E833" w14:textId="0C04590B" w:rsidR="00EB273E" w:rsidRPr="00BF4084" w:rsidRDefault="00EB273E" w:rsidP="00BF4084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sectPr w:rsidR="00EB273E" w:rsidRPr="00BF4084">
      <w:headerReference w:type="default" r:id="rId34"/>
      <w:footerReference w:type="default" r:id="rId35"/>
      <w:headerReference w:type="first" r:id="rId36"/>
      <w:footerReference w:type="first" r:id="rId3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97C0D" w14:textId="77777777" w:rsidR="00EB4B27" w:rsidRDefault="00EB4B27">
      <w:pPr>
        <w:spacing w:line="240" w:lineRule="auto"/>
      </w:pPr>
      <w:r>
        <w:separator/>
      </w:r>
    </w:p>
  </w:endnote>
  <w:endnote w:type="continuationSeparator" w:id="0">
    <w:p w14:paraId="2F0DBBAD" w14:textId="77777777" w:rsidR="00EB4B27" w:rsidRDefault="00EB4B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1A2219A-9F79-477D-BDE6-EF37B74A4D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0C2BED6-C478-4824-B049-97996CBC16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3B399" w14:textId="77777777" w:rsidR="00EB273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A45A2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76B7F" w14:textId="77777777" w:rsidR="00EB273E" w:rsidRDefault="00EB273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50227" w14:textId="77777777" w:rsidR="00EB4B27" w:rsidRDefault="00EB4B27">
      <w:pPr>
        <w:spacing w:line="240" w:lineRule="auto"/>
      </w:pPr>
      <w:r>
        <w:separator/>
      </w:r>
    </w:p>
  </w:footnote>
  <w:footnote w:type="continuationSeparator" w:id="0">
    <w:p w14:paraId="7628B7AE" w14:textId="77777777" w:rsidR="00EB4B27" w:rsidRDefault="00EB4B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1C76F" w14:textId="77777777" w:rsidR="00EB273E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5F16646D" wp14:editId="79179C89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9DD260A" wp14:editId="54090142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E0CE150" w14:textId="77777777" w:rsidR="00EB273E" w:rsidRDefault="00EB273E">
    <w:pPr>
      <w:jc w:val="right"/>
    </w:pPr>
  </w:p>
  <w:p w14:paraId="7F2C9ACB" w14:textId="77777777" w:rsidR="00EB273E" w:rsidRDefault="00EB273E">
    <w:pPr>
      <w:jc w:val="right"/>
    </w:pPr>
  </w:p>
  <w:p w14:paraId="6D3B4AC4" w14:textId="77777777" w:rsidR="00EB273E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8822095" wp14:editId="3328EBA4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422DE" w14:textId="77777777" w:rsidR="00EB273E" w:rsidRDefault="00EB273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73E"/>
    <w:rsid w:val="00087929"/>
    <w:rsid w:val="0009724C"/>
    <w:rsid w:val="000C3E02"/>
    <w:rsid w:val="00190EC9"/>
    <w:rsid w:val="0034057B"/>
    <w:rsid w:val="00352858"/>
    <w:rsid w:val="003868E4"/>
    <w:rsid w:val="003C04EF"/>
    <w:rsid w:val="003F611F"/>
    <w:rsid w:val="004219A5"/>
    <w:rsid w:val="00441038"/>
    <w:rsid w:val="0048586C"/>
    <w:rsid w:val="004B491A"/>
    <w:rsid w:val="004D716A"/>
    <w:rsid w:val="005412B3"/>
    <w:rsid w:val="00603D49"/>
    <w:rsid w:val="00633C25"/>
    <w:rsid w:val="00710D55"/>
    <w:rsid w:val="00741CF1"/>
    <w:rsid w:val="007C27F6"/>
    <w:rsid w:val="00884320"/>
    <w:rsid w:val="008E68AE"/>
    <w:rsid w:val="00A5589A"/>
    <w:rsid w:val="00AC3D28"/>
    <w:rsid w:val="00B11DF9"/>
    <w:rsid w:val="00B70055"/>
    <w:rsid w:val="00BF4084"/>
    <w:rsid w:val="00C37978"/>
    <w:rsid w:val="00C70A26"/>
    <w:rsid w:val="00CA45A2"/>
    <w:rsid w:val="00CD7394"/>
    <w:rsid w:val="00D07C83"/>
    <w:rsid w:val="00D13754"/>
    <w:rsid w:val="00E0284C"/>
    <w:rsid w:val="00EB273E"/>
    <w:rsid w:val="00EB4B27"/>
    <w:rsid w:val="00EF458B"/>
    <w:rsid w:val="00F4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5092B"/>
  <w15:docId w15:val="{F7502D83-D6C5-4752-B2BD-CD338B9E3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CA45A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A45A2"/>
    <w:rPr>
      <w:color w:val="605E5C"/>
      <w:shd w:val="clear" w:color="auto" w:fill="E1DFDD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5412B3"/>
    <w:pPr>
      <w:keepLines/>
      <w:widowControl w:val="0"/>
      <w:spacing w:line="360" w:lineRule="auto"/>
      <w:ind w:firstLine="720"/>
    </w:pPr>
    <w:rPr>
      <w:sz w:val="24"/>
      <w:szCs w:val="24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5412B3"/>
    <w:rPr>
      <w:sz w:val="24"/>
      <w:szCs w:val="24"/>
    </w:rPr>
  </w:style>
  <w:style w:type="paragraph" w:styleId="Corpodetexto">
    <w:name w:val="Body Text"/>
    <w:basedOn w:val="Normal"/>
    <w:link w:val="CorpodetextoChar"/>
    <w:uiPriority w:val="99"/>
    <w:unhideWhenUsed/>
    <w:rsid w:val="00BF4084"/>
    <w:pPr>
      <w:keepLines/>
      <w:widowControl w:val="0"/>
      <w:spacing w:line="240" w:lineRule="auto"/>
      <w:jc w:val="both"/>
    </w:pPr>
    <w:rPr>
      <w:b/>
      <w:bCs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rsid w:val="00BF4084"/>
    <w:rPr>
      <w:b/>
      <w:bCs/>
      <w:sz w:val="24"/>
      <w:szCs w:val="24"/>
    </w:rPr>
  </w:style>
  <w:style w:type="paragraph" w:styleId="Corpodetexto2">
    <w:name w:val="Body Text 2"/>
    <w:basedOn w:val="Normal"/>
    <w:link w:val="Corpodetexto2Char"/>
    <w:uiPriority w:val="99"/>
    <w:unhideWhenUsed/>
    <w:rsid w:val="004219A5"/>
    <w:pPr>
      <w:keepLines/>
      <w:widowControl w:val="0"/>
      <w:spacing w:line="360" w:lineRule="auto"/>
      <w:jc w:val="both"/>
    </w:pPr>
    <w:rPr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4219A5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unhideWhenUsed/>
    <w:rsid w:val="00087929"/>
    <w:pPr>
      <w:keepLines/>
      <w:widowControl w:val="0"/>
      <w:spacing w:line="240" w:lineRule="auto"/>
      <w:jc w:val="center"/>
    </w:pPr>
    <w:rPr>
      <w:b/>
      <w:bCs/>
      <w:sz w:val="24"/>
      <w:szCs w:val="24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087929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2.camara.leg.br/legin/fed/decret/1824-1899/decreto-3371-7-janeiro-1865-554492-publicacaooriginal-73111-pe.html" TargetMode="External"/><Relationship Id="rId18" Type="http://schemas.openxmlformats.org/officeDocument/2006/relationships/hyperlink" Target="https://www2.camara.leg.br/legin/fed/decret/1824-1899/decreto-3371-7-janeiro-1865-554492-publicacaooriginal-73111-pe.html" TargetMode="External"/><Relationship Id="rId26" Type="http://schemas.openxmlformats.org/officeDocument/2006/relationships/hyperlink" Target="https://www2.camara.leg.br/legin/fed/decret/1824-1899/decreto-3371-7-janeiro-1865-554492-publicacaooriginal-73111-pe.html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2.camara.leg.br/legin/fed/decret/1824-1899/decreto-3371-7-janeiro-1865-554492-publicacaooriginal-73111-pe.html" TargetMode="External"/><Relationship Id="rId34" Type="http://schemas.openxmlformats.org/officeDocument/2006/relationships/header" Target="header1.xml"/><Relationship Id="rId7" Type="http://schemas.openxmlformats.org/officeDocument/2006/relationships/hyperlink" Target="https://www.gphial-uneal.com.br/arquivo-do-gphial" TargetMode="External"/><Relationship Id="rId12" Type="http://schemas.openxmlformats.org/officeDocument/2006/relationships/hyperlink" Target="https://www2.camara.leg.br/legin/fed/decret/1824-1899/decreto-3371-7-janeiro-1865-554492-publicacaooriginal-73111-pe.html" TargetMode="External"/><Relationship Id="rId17" Type="http://schemas.openxmlformats.org/officeDocument/2006/relationships/hyperlink" Target="https://www2.camara.leg.br/legin/fed/decret/1824-1899/decreto-3371-7-janeiro-1865-554492-publicacaooriginal-73111-pe.html" TargetMode="External"/><Relationship Id="rId25" Type="http://schemas.openxmlformats.org/officeDocument/2006/relationships/hyperlink" Target="https://www2.camara.leg.br/legin/fed/decret/1824-1899/decreto-3371-7-janeiro-1865-554492-publicacaooriginal-73111-pe.html" TargetMode="External"/><Relationship Id="rId33" Type="http://schemas.openxmlformats.org/officeDocument/2006/relationships/hyperlink" Target="http://www.planalto.gov.br/ccivil_03/constituicao/constituicao.htm" TargetMode="External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2.camara.leg.br/legin/fed/decret/1824-1899/decreto-3371-7-janeiro-1865-554492-publicacaooriginal-73111-pe.html" TargetMode="External"/><Relationship Id="rId20" Type="http://schemas.openxmlformats.org/officeDocument/2006/relationships/hyperlink" Target="https://www2.camara.leg.br/legin/fed/decret/1824-1899/decreto-3371-7-janeiro-1865-554492-publicacaooriginal-73111-pe.html" TargetMode="External"/><Relationship Id="rId29" Type="http://schemas.openxmlformats.org/officeDocument/2006/relationships/hyperlink" Target="https://www2.camara.leg.br/legin/fed/decret/1824-1899/decreto-3371-7-janeiro-1865-554492-publicacaooriginal-73111-pe.html" TargetMode="External"/><Relationship Id="rId1" Type="http://schemas.openxmlformats.org/officeDocument/2006/relationships/styles" Target="styles.xml"/><Relationship Id="rId6" Type="http://schemas.openxmlformats.org/officeDocument/2006/relationships/hyperlink" Target="mailto:antonio-eduardo.ea@aluno.unb.br" TargetMode="External"/><Relationship Id="rId11" Type="http://schemas.openxmlformats.org/officeDocument/2006/relationships/hyperlink" Target="https://portal.stf.jus.br/jurisprudenciaRepercussao/verAndamentoProcesso.asp?incidente=5109720&amp;numeroProcesso=1017365" TargetMode="External"/><Relationship Id="rId24" Type="http://schemas.openxmlformats.org/officeDocument/2006/relationships/hyperlink" Target="https://www2.camara.leg.br/legin/fed/decret/1824-1899/decreto-3371-7-janeiro-1865-554492-publicacaooriginal-73111-pe.html" TargetMode="External"/><Relationship Id="rId32" Type="http://schemas.openxmlformats.org/officeDocument/2006/relationships/hyperlink" Target="http://www.planalto.gov.br/ccivil_03/constituicao/constituicao.htm" TargetMode="External"/><Relationship Id="rId37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hyperlink" Target="https://www2.camara.leg.br/legin/fed/decret/1824-1899/decreto-3371-7-janeiro-1865-554492-publicacaooriginal-73111-pe.html" TargetMode="External"/><Relationship Id="rId23" Type="http://schemas.openxmlformats.org/officeDocument/2006/relationships/hyperlink" Target="https://www2.camara.leg.br/legin/fed/decret/1824-1899/decreto-3371-7-janeiro-1865-554492-publicacaooriginal-73111-pe.html" TargetMode="External"/><Relationship Id="rId28" Type="http://schemas.openxmlformats.org/officeDocument/2006/relationships/hyperlink" Target="https://www2.camara.leg.br/legin/fed/decret/1824-1899/decreto-3371-7-janeiro-1865-554492-publicacaooriginal-73111-pe.html" TargetMode="External"/><Relationship Id="rId36" Type="http://schemas.openxmlformats.org/officeDocument/2006/relationships/header" Target="header2.xml"/><Relationship Id="rId10" Type="http://schemas.openxmlformats.org/officeDocument/2006/relationships/hyperlink" Target="https://www.gphial-uneal.com.br/arquivo-do-gphial" TargetMode="External"/><Relationship Id="rId19" Type="http://schemas.openxmlformats.org/officeDocument/2006/relationships/hyperlink" Target="https://www2.camara.leg.br/legin/fed/decret/1824-1899/decreto-3371-7-janeiro-1865-554492-publicacaooriginal-73111-pe.html" TargetMode="External"/><Relationship Id="rId31" Type="http://schemas.openxmlformats.org/officeDocument/2006/relationships/hyperlink" Target="https://www2.camara.leg.br/legin/fed/decret/1824-1899/decreto-3371-7-janeiro-1865-554492-publicacaooriginal-73111-pe.html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gphial-uneal.com.br/arquivo-do-gphial" TargetMode="External"/><Relationship Id="rId14" Type="http://schemas.openxmlformats.org/officeDocument/2006/relationships/hyperlink" Target="https://www2.camara.leg.br/legin/fed/decret/1824-1899/decreto-3371-7-janeiro-1865-554492-publicacaooriginal-73111-pe.html" TargetMode="External"/><Relationship Id="rId22" Type="http://schemas.openxmlformats.org/officeDocument/2006/relationships/hyperlink" Target="https://www2.camara.leg.br/legin/fed/decret/1824-1899/decreto-3371-7-janeiro-1865-554492-publicacaooriginal-73111-pe.html" TargetMode="External"/><Relationship Id="rId27" Type="http://schemas.openxmlformats.org/officeDocument/2006/relationships/hyperlink" Target="https://www2.camara.leg.br/legin/fed/decret/1824-1899/decreto-3371-7-janeiro-1865-554492-publicacaooriginal-73111-pe.html" TargetMode="External"/><Relationship Id="rId30" Type="http://schemas.openxmlformats.org/officeDocument/2006/relationships/hyperlink" Target="https://www2.camara.leg.br/legin/fed/decret/1824-1899/decreto-3371-7-janeiro-1865-554492-publicacaooriginal-73111-pe.html" TargetMode="External"/><Relationship Id="rId35" Type="http://schemas.openxmlformats.org/officeDocument/2006/relationships/footer" Target="footer1.xml"/><Relationship Id="rId8" Type="http://schemas.openxmlformats.org/officeDocument/2006/relationships/hyperlink" Target="https://www.gphial-uneal.com.br/arquivo-do-gphial" TargetMode="External"/><Relationship Id="rId3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1830</Words>
  <Characters>9888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Honório</dc:creator>
  <cp:keywords/>
  <dc:description/>
  <cp:lastModifiedBy>Eduardo Honório</cp:lastModifiedBy>
  <cp:revision>2</cp:revision>
  <cp:lastPrinted>2026-08-03T23:47:00Z</cp:lastPrinted>
  <dcterms:created xsi:type="dcterms:W3CDTF">2026-08-10T13:23:00Z</dcterms:created>
  <dcterms:modified xsi:type="dcterms:W3CDTF">2026-08-10T13:23:00Z</dcterms:modified>
</cp:coreProperties>
</file>