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F7D0" w14:textId="1FF75020" w:rsidR="00B31D51" w:rsidRPr="002D1B68" w:rsidRDefault="002D1B68" w:rsidP="00B31D51">
      <w:pPr>
        <w:keepLines/>
        <w:widowControl w:val="0"/>
        <w:spacing w:line="240" w:lineRule="auto"/>
        <w:jc w:val="center"/>
        <w:rPr>
          <w:b/>
          <w:bCs/>
          <w:sz w:val="24"/>
          <w:szCs w:val="24"/>
        </w:rPr>
      </w:pPr>
      <w:r w:rsidRPr="002D1B68">
        <w:rPr>
          <w:b/>
          <w:bCs/>
          <w:sz w:val="24"/>
          <w:szCs w:val="24"/>
        </w:rPr>
        <w:t>CONVERSATÓRIO 14 - ENCONTRO DE SABERES: DIÁLOGOS INTERCULTURAIS E INTEREPISTÊMICOS ENTRE A ACADEMIA E OS POVOS E COMUNIDADES TRADICIONAIS</w:t>
      </w:r>
    </w:p>
    <w:p w14:paraId="016024A4" w14:textId="77777777" w:rsidR="0040376B" w:rsidRPr="002D1B68" w:rsidRDefault="0040376B">
      <w:pPr>
        <w:keepLines/>
        <w:widowControl w:val="0"/>
        <w:spacing w:line="240" w:lineRule="auto"/>
        <w:rPr>
          <w:b/>
          <w:bCs/>
          <w:sz w:val="24"/>
          <w:szCs w:val="24"/>
        </w:rPr>
      </w:pPr>
    </w:p>
    <w:p w14:paraId="0FFFEF92" w14:textId="0E8448E6" w:rsidR="00B31D51" w:rsidRPr="002D1B68" w:rsidRDefault="00B31D51" w:rsidP="00B31D51">
      <w:pPr>
        <w:spacing w:line="240" w:lineRule="auto"/>
        <w:jc w:val="center"/>
        <w:rPr>
          <w:b/>
          <w:bCs/>
          <w:sz w:val="24"/>
          <w:szCs w:val="24"/>
        </w:rPr>
      </w:pPr>
      <w:r w:rsidRPr="002D1B68">
        <w:rPr>
          <w:b/>
          <w:bCs/>
          <w:sz w:val="24"/>
          <w:szCs w:val="24"/>
        </w:rPr>
        <w:t xml:space="preserve">Quando a palavra ensina: narrativas quilombolas, escuta e pedagogias da </w:t>
      </w:r>
      <w:r w:rsidR="00D348E5" w:rsidRPr="002D1B68">
        <w:rPr>
          <w:b/>
          <w:bCs/>
          <w:sz w:val="24"/>
          <w:szCs w:val="24"/>
        </w:rPr>
        <w:t>(</w:t>
      </w:r>
      <w:proofErr w:type="spellStart"/>
      <w:r w:rsidRPr="002D1B68">
        <w:rPr>
          <w:b/>
          <w:bCs/>
          <w:sz w:val="24"/>
          <w:szCs w:val="24"/>
        </w:rPr>
        <w:t>re</w:t>
      </w:r>
      <w:proofErr w:type="spellEnd"/>
      <w:r w:rsidR="00D348E5" w:rsidRPr="002D1B68">
        <w:rPr>
          <w:b/>
          <w:bCs/>
          <w:sz w:val="24"/>
          <w:szCs w:val="24"/>
        </w:rPr>
        <w:t>)</w:t>
      </w:r>
      <w:r w:rsidRPr="002D1B68">
        <w:rPr>
          <w:b/>
          <w:bCs/>
          <w:sz w:val="24"/>
          <w:szCs w:val="24"/>
        </w:rPr>
        <w:t>existência na formação docente</w:t>
      </w:r>
    </w:p>
    <w:p w14:paraId="57C1039C" w14:textId="77777777" w:rsidR="0040376B" w:rsidRPr="002D1B68" w:rsidRDefault="0040376B">
      <w:pPr>
        <w:keepLines/>
        <w:widowControl w:val="0"/>
        <w:spacing w:line="240" w:lineRule="auto"/>
        <w:rPr>
          <w:sz w:val="24"/>
          <w:szCs w:val="24"/>
        </w:rPr>
      </w:pPr>
    </w:p>
    <w:p w14:paraId="22B45901" w14:textId="77777777" w:rsidR="0040376B" w:rsidRPr="002D1B68" w:rsidRDefault="0040376B">
      <w:pPr>
        <w:keepLines/>
        <w:widowControl w:val="0"/>
        <w:spacing w:line="240" w:lineRule="auto"/>
        <w:jc w:val="right"/>
        <w:rPr>
          <w:sz w:val="24"/>
          <w:szCs w:val="24"/>
        </w:rPr>
      </w:pPr>
    </w:p>
    <w:p w14:paraId="7BC75353" w14:textId="42F5226E" w:rsidR="0040376B" w:rsidRPr="002D1B68" w:rsidRDefault="004E2578" w:rsidP="003A42D0">
      <w:pPr>
        <w:keepLines/>
        <w:widowControl w:val="0"/>
        <w:spacing w:line="240" w:lineRule="auto"/>
        <w:jc w:val="right"/>
        <w:rPr>
          <w:sz w:val="24"/>
          <w:szCs w:val="24"/>
        </w:rPr>
      </w:pPr>
      <w:r w:rsidRPr="002D1B68">
        <w:rPr>
          <w:sz w:val="24"/>
          <w:szCs w:val="24"/>
        </w:rPr>
        <w:t xml:space="preserve">Nilcelio Sacramento de Sousa, Universidade Federal do Tocantins, </w:t>
      </w:r>
      <w:hyperlink r:id="rId7" w:history="1">
        <w:r w:rsidRPr="002D1B68">
          <w:rPr>
            <w:rStyle w:val="Hyperlink"/>
            <w:sz w:val="24"/>
            <w:szCs w:val="24"/>
          </w:rPr>
          <w:t>nilsousa@mail.uft.edu.br</w:t>
        </w:r>
      </w:hyperlink>
      <w:r w:rsidRPr="002D1B68">
        <w:rPr>
          <w:sz w:val="24"/>
          <w:szCs w:val="24"/>
        </w:rPr>
        <w:t xml:space="preserve"> </w:t>
      </w:r>
    </w:p>
    <w:p w14:paraId="28D4A0CC" w14:textId="4F584490" w:rsidR="0040376B" w:rsidRPr="002D1B68" w:rsidRDefault="004E2578" w:rsidP="003A42D0">
      <w:pPr>
        <w:keepLines/>
        <w:widowControl w:val="0"/>
        <w:spacing w:line="240" w:lineRule="auto"/>
        <w:jc w:val="right"/>
        <w:rPr>
          <w:sz w:val="24"/>
          <w:szCs w:val="24"/>
        </w:rPr>
      </w:pPr>
      <w:r w:rsidRPr="002D1B68">
        <w:rPr>
          <w:sz w:val="24"/>
          <w:szCs w:val="24"/>
        </w:rPr>
        <w:t xml:space="preserve">Kaled Sulaiman </w:t>
      </w:r>
      <w:proofErr w:type="spellStart"/>
      <w:r w:rsidRPr="002D1B68">
        <w:rPr>
          <w:sz w:val="24"/>
          <w:szCs w:val="24"/>
        </w:rPr>
        <w:t>Khidir</w:t>
      </w:r>
      <w:proofErr w:type="spellEnd"/>
      <w:r w:rsidRPr="002D1B68">
        <w:rPr>
          <w:sz w:val="24"/>
          <w:szCs w:val="24"/>
        </w:rPr>
        <w:t xml:space="preserve">, Universidade Federal do Tocantins, </w:t>
      </w:r>
      <w:hyperlink r:id="rId8" w:history="1">
        <w:r w:rsidRPr="002D1B68">
          <w:rPr>
            <w:rStyle w:val="Hyperlink"/>
            <w:sz w:val="24"/>
            <w:szCs w:val="24"/>
          </w:rPr>
          <w:t>kaled@uft.edu.br</w:t>
        </w:r>
      </w:hyperlink>
      <w:r w:rsidRPr="002D1B68">
        <w:rPr>
          <w:sz w:val="24"/>
          <w:szCs w:val="24"/>
        </w:rPr>
        <w:t xml:space="preserve"> </w:t>
      </w:r>
    </w:p>
    <w:p w14:paraId="379ED118" w14:textId="3506B8F4" w:rsidR="003A42D0" w:rsidRPr="002D1B68" w:rsidRDefault="00D348E5" w:rsidP="003A42D0">
      <w:pPr>
        <w:keepLines/>
        <w:widowControl w:val="0"/>
        <w:spacing w:line="240" w:lineRule="auto"/>
        <w:jc w:val="right"/>
        <w:rPr>
          <w:sz w:val="24"/>
          <w:szCs w:val="24"/>
        </w:rPr>
      </w:pPr>
      <w:r w:rsidRPr="002D1B68">
        <w:rPr>
          <w:sz w:val="24"/>
          <w:szCs w:val="24"/>
        </w:rPr>
        <w:t>Alexandra Ribeiro dos Santos,</w:t>
      </w:r>
      <w:r w:rsidR="003A42D0" w:rsidRPr="002D1B68">
        <w:rPr>
          <w:sz w:val="24"/>
          <w:szCs w:val="24"/>
        </w:rPr>
        <w:t xml:space="preserve"> Universidade Federal do Tocantins,</w:t>
      </w:r>
      <w:r w:rsidRPr="002D1B68">
        <w:rPr>
          <w:sz w:val="24"/>
          <w:szCs w:val="24"/>
        </w:rPr>
        <w:t xml:space="preserve"> </w:t>
      </w:r>
      <w:hyperlink r:id="rId9" w:history="1">
        <w:r w:rsidR="003A42D0" w:rsidRPr="002D1B68">
          <w:rPr>
            <w:rStyle w:val="Hyperlink"/>
            <w:sz w:val="24"/>
            <w:szCs w:val="24"/>
          </w:rPr>
          <w:t>alexandra.ribeiro@mail.uft.edu.br</w:t>
        </w:r>
      </w:hyperlink>
      <w:r w:rsidR="003A42D0" w:rsidRPr="002D1B68">
        <w:rPr>
          <w:sz w:val="24"/>
          <w:szCs w:val="24"/>
        </w:rPr>
        <w:t xml:space="preserve"> </w:t>
      </w:r>
    </w:p>
    <w:p w14:paraId="62C851FE" w14:textId="77777777" w:rsidR="003A42D0" w:rsidRPr="002D1B68" w:rsidRDefault="003A42D0" w:rsidP="003A42D0">
      <w:pPr>
        <w:keepLines/>
        <w:widowControl w:val="0"/>
        <w:spacing w:line="240" w:lineRule="auto"/>
        <w:rPr>
          <w:sz w:val="24"/>
          <w:szCs w:val="24"/>
        </w:rPr>
      </w:pPr>
    </w:p>
    <w:p w14:paraId="6F4A9500" w14:textId="77777777" w:rsidR="0040376B" w:rsidRPr="002D1B68" w:rsidRDefault="0040376B">
      <w:pPr>
        <w:keepLines/>
        <w:widowControl w:val="0"/>
        <w:spacing w:line="360" w:lineRule="auto"/>
        <w:rPr>
          <w:b/>
          <w:bCs/>
          <w:sz w:val="24"/>
          <w:szCs w:val="24"/>
        </w:rPr>
      </w:pPr>
    </w:p>
    <w:p w14:paraId="1B430183" w14:textId="77777777" w:rsidR="0040376B" w:rsidRPr="002D1B68" w:rsidRDefault="00000000">
      <w:pPr>
        <w:keepLines/>
        <w:widowControl w:val="0"/>
        <w:spacing w:line="360" w:lineRule="auto"/>
        <w:rPr>
          <w:b/>
          <w:bCs/>
          <w:sz w:val="24"/>
          <w:szCs w:val="24"/>
        </w:rPr>
      </w:pPr>
      <w:r w:rsidRPr="002D1B68">
        <w:rPr>
          <w:b/>
          <w:bCs/>
          <w:sz w:val="24"/>
          <w:szCs w:val="24"/>
        </w:rPr>
        <w:t>RESUMO</w:t>
      </w:r>
    </w:p>
    <w:p w14:paraId="7E397085" w14:textId="77777777" w:rsidR="00E90CCF" w:rsidRPr="002D1B68" w:rsidRDefault="00E90CCF" w:rsidP="00AE17C8">
      <w:pPr>
        <w:keepLines/>
        <w:widowControl w:val="0"/>
        <w:spacing w:line="360" w:lineRule="auto"/>
        <w:ind w:firstLine="720"/>
        <w:jc w:val="both"/>
        <w:rPr>
          <w:sz w:val="24"/>
          <w:szCs w:val="24"/>
        </w:rPr>
      </w:pPr>
      <w:r w:rsidRPr="002D1B68">
        <w:rPr>
          <w:i/>
          <w:iCs/>
          <w:sz w:val="24"/>
          <w:szCs w:val="24"/>
        </w:rPr>
        <w:t>"Os saberes de casa não valiam nada."</w:t>
      </w:r>
      <w:r w:rsidRPr="002D1B68">
        <w:rPr>
          <w:sz w:val="24"/>
          <w:szCs w:val="24"/>
        </w:rPr>
        <w:t xml:space="preserve"> A frase foi pronunciada por Dona Maria de Jesus durante uma roda de conversa no Tempo Quilombo (TQ) da Licenciatura em Educação Escolar Quilombola da Universidade Federal do Tocantins (UFT), organizada pela Pedagogia da Alternância, que articula Tempo Universidade e Tempo Quilombo e reconhece a comunidade como território de produção de conhecimentos (PPC/2023). Nesse contexto, ao narrar sua infância na Comunidade Quilombola Lagoa da Pedra, em Arraias (TO), Dona Maria recordou as aprendizagens construídas com a família e o território, mas também como esses saberes eram deslegitimados ao ingressar na escola. Sua narrativa revela uma experiência compartilhada por povos e comunidades tradicionais, cujos conhecimentos foram historicamente invisibilizados pelos processos de escolarização e pela lógica colonial que estruturou os currículos.</w:t>
      </w:r>
    </w:p>
    <w:p w14:paraId="3E79353B" w14:textId="61F1398B" w:rsidR="00B31D51" w:rsidRPr="002D1B68" w:rsidRDefault="00B31D51" w:rsidP="00AE17C8">
      <w:pPr>
        <w:keepLines/>
        <w:widowControl w:val="0"/>
        <w:spacing w:line="360" w:lineRule="auto"/>
        <w:ind w:firstLine="720"/>
        <w:jc w:val="both"/>
        <w:rPr>
          <w:sz w:val="24"/>
          <w:szCs w:val="24"/>
        </w:rPr>
      </w:pPr>
      <w:r w:rsidRPr="002D1B68">
        <w:rPr>
          <w:sz w:val="24"/>
          <w:szCs w:val="24"/>
        </w:rPr>
        <w:t>Naquela roda de conversa, a palavra de Dona Maria produziu um deslocamento que ultrapassava a emoção do encontro. Ela nos obrigava a perguntar não apenas o que a escola ensina, mas quais conhecimentos ela continua recusando escutar. Foi dessa interpelação que nasceu este estudo, movido pela inquietação de compreender como narrativas quilombolas podem produzir deslocamentos interculturais, decoloniais e antirracistas na formação docente, anunciando outros modos de construir currículos comprometidos com a equidade, a justiça cognitiva e o bem-viver.</w:t>
      </w:r>
    </w:p>
    <w:p w14:paraId="5F973E4D" w14:textId="31B0EA7C" w:rsidR="00B31D51" w:rsidRPr="002D1B68" w:rsidRDefault="0076513A" w:rsidP="0076513A">
      <w:pPr>
        <w:keepLines/>
        <w:widowControl w:val="0"/>
        <w:spacing w:line="360" w:lineRule="auto"/>
        <w:ind w:firstLine="720"/>
        <w:jc w:val="both"/>
        <w:rPr>
          <w:sz w:val="24"/>
          <w:szCs w:val="24"/>
        </w:rPr>
      </w:pPr>
      <w:r w:rsidRPr="002D1B68">
        <w:rPr>
          <w:sz w:val="24"/>
          <w:szCs w:val="24"/>
        </w:rPr>
        <w:lastRenderedPageBreak/>
        <w:t>Assumimos, em diálogo com Pérez (2003) e Sousa (2022), a narrativa como produção de conhecimento e postura ética de pesquisa, reconhecendo as histórias compartilhadas no Tempo Quilombo como interpretações sobre vida, território e educação</w:t>
      </w:r>
      <w:r w:rsidR="00B31D51" w:rsidRPr="002D1B68">
        <w:rPr>
          <w:sz w:val="24"/>
          <w:szCs w:val="24"/>
        </w:rPr>
        <w:t xml:space="preserve">. </w:t>
      </w:r>
    </w:p>
    <w:p w14:paraId="4F3D160B" w14:textId="77777777" w:rsidR="00663AE0" w:rsidRPr="002D1B68" w:rsidRDefault="00663AE0" w:rsidP="00B31D51">
      <w:pPr>
        <w:keepLines/>
        <w:widowControl w:val="0"/>
        <w:spacing w:line="360" w:lineRule="auto"/>
        <w:ind w:firstLine="720"/>
        <w:jc w:val="both"/>
        <w:rPr>
          <w:sz w:val="24"/>
          <w:szCs w:val="24"/>
        </w:rPr>
      </w:pPr>
      <w:r w:rsidRPr="002D1B68">
        <w:rPr>
          <w:sz w:val="24"/>
          <w:szCs w:val="24"/>
        </w:rPr>
        <w:t>A narrativa de Dona Maria evidencia que os saberes recusados pela escola organizavam a vida da comunidade. Em diálogo com Quijano (2000), compreendemos que a colonialidade do saber hierarquiza epistemologias e produz ausências. Ao narrar, Dona Maria desloca essa lógica ao reinscrever, no espaço universitário, conhecimentos preservados na oralidade, na memória coletiva e nas práticas comunitárias.</w:t>
      </w:r>
    </w:p>
    <w:p w14:paraId="3516DFB6" w14:textId="3A079071" w:rsidR="00E90CCF" w:rsidRPr="002D1B68" w:rsidRDefault="00E90CCF" w:rsidP="00B31D51">
      <w:pPr>
        <w:keepLines/>
        <w:widowControl w:val="0"/>
        <w:spacing w:line="360" w:lineRule="auto"/>
        <w:ind w:firstLine="720"/>
        <w:jc w:val="both"/>
        <w:rPr>
          <w:sz w:val="24"/>
          <w:szCs w:val="24"/>
        </w:rPr>
      </w:pPr>
      <w:r w:rsidRPr="002D1B68">
        <w:rPr>
          <w:sz w:val="24"/>
          <w:szCs w:val="24"/>
        </w:rPr>
        <w:t>Nesse movimento, a narrativa torna-se um acontecimento pedagógico que tensiona, em diálogo com Foucault</w:t>
      </w:r>
      <w:r w:rsidR="00663AE0" w:rsidRPr="002D1B68">
        <w:rPr>
          <w:sz w:val="24"/>
          <w:szCs w:val="24"/>
        </w:rPr>
        <w:t xml:space="preserve"> (2021)</w:t>
      </w:r>
      <w:r w:rsidRPr="002D1B68">
        <w:rPr>
          <w:sz w:val="24"/>
          <w:szCs w:val="24"/>
        </w:rPr>
        <w:t>, os regimes de verdade que legitimam algumas vozes e silenciam outras. Ao evidenciar que o racismo organiza formas de inferiorização dos modos de aprender, ensinar e existir, a narrativa também anuncia a escola como espaço de problematização dessas hierarquias por meio da escuta de saberes historicamente silenciados.</w:t>
      </w:r>
    </w:p>
    <w:p w14:paraId="0498F519" w14:textId="77777777" w:rsidR="00663AE0" w:rsidRPr="002D1B68" w:rsidRDefault="00663AE0" w:rsidP="00B31D51">
      <w:pPr>
        <w:keepLines/>
        <w:widowControl w:val="0"/>
        <w:spacing w:line="360" w:lineRule="auto"/>
        <w:ind w:firstLine="720"/>
        <w:jc w:val="both"/>
        <w:rPr>
          <w:sz w:val="24"/>
          <w:szCs w:val="24"/>
        </w:rPr>
      </w:pPr>
      <w:r w:rsidRPr="002D1B68">
        <w:rPr>
          <w:sz w:val="24"/>
          <w:szCs w:val="24"/>
        </w:rPr>
        <w:t>Em diálogo com Spivak (2014), compreendemos que o desafio não é apenas criar condições para que sujeitos historicamente subalternizados falem, mas reconhecer que suas narrativas também produzem teoria. A palavra de Dona Maria transforma a escuta em exercício epistemológico, convocando a universidade a deslocar as hierarquias que, por séculos, legitimaram alguns saberes e reduziram outros à condição de mera experiência.</w:t>
      </w:r>
    </w:p>
    <w:p w14:paraId="4B36EDEF" w14:textId="0968628A" w:rsidR="00B31D51" w:rsidRPr="002D1B68" w:rsidRDefault="00B31D51" w:rsidP="00B31D51">
      <w:pPr>
        <w:keepLines/>
        <w:widowControl w:val="0"/>
        <w:spacing w:line="360" w:lineRule="auto"/>
        <w:ind w:firstLine="720"/>
        <w:jc w:val="both"/>
        <w:rPr>
          <w:sz w:val="24"/>
          <w:szCs w:val="24"/>
        </w:rPr>
      </w:pPr>
      <w:r w:rsidRPr="002D1B68">
        <w:rPr>
          <w:sz w:val="24"/>
          <w:szCs w:val="24"/>
        </w:rPr>
        <w:t xml:space="preserve">Ao narrar que </w:t>
      </w:r>
      <w:r w:rsidRPr="002D1B68">
        <w:rPr>
          <w:i/>
          <w:iCs/>
          <w:sz w:val="24"/>
          <w:szCs w:val="24"/>
        </w:rPr>
        <w:t>"</w:t>
      </w:r>
      <w:r w:rsidRPr="002D1B68">
        <w:rPr>
          <w:sz w:val="24"/>
          <w:szCs w:val="24"/>
        </w:rPr>
        <w:t>os saberes de casa não valiam nada", Dona Maria não apenas rememora uma violência escolar; ela revela aquilo que Carneiro</w:t>
      </w:r>
      <w:r w:rsidR="006B4EBE" w:rsidRPr="002D1B68">
        <w:rPr>
          <w:sz w:val="24"/>
          <w:szCs w:val="24"/>
        </w:rPr>
        <w:t xml:space="preserve"> (2023)</w:t>
      </w:r>
      <w:r w:rsidRPr="002D1B68">
        <w:rPr>
          <w:sz w:val="24"/>
          <w:szCs w:val="24"/>
        </w:rPr>
        <w:t xml:space="preserve"> denomina epistemicídio: a destruição sistemática de formas de conhecer produzidas por povos negros e comunidades tradicionais. Contudo, sua narrativa recusa permanecer aprisionada à lógica da perda. Ao fazer da memória um espaço de elaboração crítica, aproxima-se da escrevivência proposta por Evaristo</w:t>
      </w:r>
      <w:r w:rsidR="006B4EBE" w:rsidRPr="002D1B68">
        <w:rPr>
          <w:sz w:val="24"/>
          <w:szCs w:val="24"/>
        </w:rPr>
        <w:t xml:space="preserve"> (2017)</w:t>
      </w:r>
      <w:r w:rsidRPr="002D1B68">
        <w:rPr>
          <w:sz w:val="24"/>
          <w:szCs w:val="24"/>
        </w:rPr>
        <w:t>, na qual narrar significa transformar a vida em pensamento e a experiência em produção de conhecimento. Sua palavra devolve centralidade a sujeitos que, durante muito tempo, ocuparam apenas o lugar de objetos da pesquisa educacional.</w:t>
      </w:r>
    </w:p>
    <w:p w14:paraId="3FF15ECC" w14:textId="650C1D18" w:rsidR="0076513A" w:rsidRPr="002D1B68" w:rsidRDefault="0076513A" w:rsidP="00B31D51">
      <w:pPr>
        <w:keepLines/>
        <w:widowControl w:val="0"/>
        <w:spacing w:line="360" w:lineRule="auto"/>
        <w:ind w:firstLine="720"/>
        <w:jc w:val="both"/>
        <w:rPr>
          <w:sz w:val="24"/>
          <w:szCs w:val="24"/>
        </w:rPr>
      </w:pPr>
      <w:r w:rsidRPr="002D1B68">
        <w:rPr>
          <w:sz w:val="24"/>
          <w:szCs w:val="24"/>
        </w:rPr>
        <w:lastRenderedPageBreak/>
        <w:t>As marcas do racismo e do sexismo atravessam a narrativa de Dona Maria sem reduzir sua existência ao sofrimento. Em diálogo com Piedade (2019), compreendemos que a dor compartilhada entre mulheres negras também produz solidariedade e fortalecimento coletivo. Assim, sua narrativa afirma uma pedagogia que articula conhecimento, afeto, território e ancestralidade.</w:t>
      </w:r>
    </w:p>
    <w:p w14:paraId="613A6030" w14:textId="06CB9536" w:rsidR="0076513A" w:rsidRPr="002D1B68" w:rsidRDefault="0076513A" w:rsidP="00B31D51">
      <w:pPr>
        <w:keepLines/>
        <w:widowControl w:val="0"/>
        <w:spacing w:line="360" w:lineRule="auto"/>
        <w:ind w:firstLine="720"/>
        <w:jc w:val="both"/>
        <w:rPr>
          <w:sz w:val="24"/>
          <w:szCs w:val="24"/>
        </w:rPr>
      </w:pPr>
      <w:r w:rsidRPr="002D1B68">
        <w:rPr>
          <w:sz w:val="24"/>
          <w:szCs w:val="24"/>
        </w:rPr>
        <w:t>Ao deslocar a universidade para o território quilombola, o Tempo Quilombo produz uma interculturalidade crítica, reconhecendo diferentes epistemologias. Em diálogo com Nego Bispo (2023), compreendemos o bem-viver como prática que articula território, ancestralidade, comunidade, natureza, reciprocidade e cuidado.</w:t>
      </w:r>
    </w:p>
    <w:p w14:paraId="20BC2BD2" w14:textId="77777777" w:rsidR="00E90CCF" w:rsidRPr="002D1B68" w:rsidRDefault="00E90CCF" w:rsidP="00B31D51">
      <w:pPr>
        <w:keepLines/>
        <w:widowControl w:val="0"/>
        <w:spacing w:line="360" w:lineRule="auto"/>
        <w:ind w:firstLine="720"/>
        <w:jc w:val="both"/>
        <w:rPr>
          <w:sz w:val="24"/>
          <w:szCs w:val="24"/>
        </w:rPr>
      </w:pPr>
      <w:r w:rsidRPr="002D1B68">
        <w:rPr>
          <w:sz w:val="24"/>
          <w:szCs w:val="24"/>
        </w:rPr>
        <w:t>As narrativas de Dona Maria evidenciam que a resistência se produz nas reinvenções cotidianas da vida. Em diálogo com Deleuze e Guattari (2008), essas linhas de fuga permitem pensar uma formação docente aberta a diferentes epistemologias. Assim, sua narrativa deixa de ser apenas ponto de partida da investigação para afirmar que uma educação intercultural, decolonial e antirracista exige reconhecer outras formas de produzir conhecimento, pedagogias e racionalidades historicamente silenciadas pela universidade.</w:t>
      </w:r>
    </w:p>
    <w:p w14:paraId="660A6248" w14:textId="45D1E7F3" w:rsidR="00B31D51" w:rsidRPr="002D1B68" w:rsidRDefault="00B31D51" w:rsidP="00B31D51">
      <w:pPr>
        <w:keepLines/>
        <w:widowControl w:val="0"/>
        <w:spacing w:line="360" w:lineRule="auto"/>
        <w:ind w:firstLine="720"/>
        <w:jc w:val="both"/>
        <w:rPr>
          <w:sz w:val="24"/>
          <w:szCs w:val="24"/>
        </w:rPr>
      </w:pPr>
      <w:r w:rsidRPr="002D1B68">
        <w:rPr>
          <w:sz w:val="24"/>
          <w:szCs w:val="24"/>
        </w:rPr>
        <w:t>Concluímos, portanto, que as narrativas quilombolas constituem práticas de reexistência que deslocam os sentidos da formação docente ao afirmar a memória, a oralidade e a ancestralidade como epistemologias vivas. Mais do que denunciar a permanência da colonialidade, a palavra de Dona Maria anuncia outras possibilidades de educação, comprometidas com a equidade, a justiça cognitiva, a interculturalidade crítica e o bem-viver. Ao final da roda de conversa, compreendemos que sua narrativa não havia terminado quando sua fala cessou; ela continuava produzindo perguntas. Talvez seja essa a maior potência das narrativas: não oferecer respostas definitivas, mas manter aberta a possibilidade de outros currículos, outras universidades e outros modos de educar e de existir.</w:t>
      </w:r>
    </w:p>
    <w:p w14:paraId="36859BE9" w14:textId="77777777" w:rsidR="00B31D51" w:rsidRPr="002D1B68" w:rsidRDefault="00B31D51" w:rsidP="004E2578">
      <w:pPr>
        <w:keepLines/>
        <w:widowControl w:val="0"/>
        <w:spacing w:line="360" w:lineRule="auto"/>
        <w:jc w:val="both"/>
        <w:rPr>
          <w:sz w:val="24"/>
          <w:szCs w:val="24"/>
        </w:rPr>
      </w:pPr>
    </w:p>
    <w:p w14:paraId="44BD5D78" w14:textId="588E7CF2" w:rsidR="00074B5D" w:rsidRPr="002D1B68" w:rsidRDefault="00000000" w:rsidP="00074B5D">
      <w:pPr>
        <w:spacing w:line="240" w:lineRule="auto"/>
        <w:jc w:val="both"/>
      </w:pPr>
      <w:r w:rsidRPr="002D1B68">
        <w:rPr>
          <w:b/>
          <w:bCs/>
        </w:rPr>
        <w:t>PALAVRAS-CHAVE</w:t>
      </w:r>
      <w:r w:rsidR="00074B5D" w:rsidRPr="002D1B68">
        <w:rPr>
          <w:b/>
          <w:bCs/>
        </w:rPr>
        <w:t xml:space="preserve">: </w:t>
      </w:r>
      <w:r w:rsidR="00074B5D" w:rsidRPr="002D1B68">
        <w:t>Narrativas quilombolas; Formação docente; Interculturalidade crítica; Educação antirracista; Bem-viver.</w:t>
      </w:r>
    </w:p>
    <w:p w14:paraId="2FB79A77" w14:textId="77777777" w:rsidR="00074B5D" w:rsidRPr="002D1B68" w:rsidRDefault="00074B5D" w:rsidP="00074B5D">
      <w:pPr>
        <w:spacing w:line="240" w:lineRule="auto"/>
        <w:jc w:val="both"/>
      </w:pPr>
    </w:p>
    <w:p w14:paraId="7952C749" w14:textId="77777777" w:rsidR="0040376B" w:rsidRPr="002D1B68" w:rsidRDefault="0040376B">
      <w:pPr>
        <w:keepLines/>
        <w:widowControl w:val="0"/>
        <w:spacing w:line="240" w:lineRule="auto"/>
        <w:rPr>
          <w:sz w:val="24"/>
          <w:szCs w:val="24"/>
        </w:rPr>
      </w:pPr>
    </w:p>
    <w:p w14:paraId="77B42816" w14:textId="77777777" w:rsidR="0040376B" w:rsidRPr="002D1B68" w:rsidRDefault="0040376B">
      <w:pPr>
        <w:keepLines/>
        <w:widowControl w:val="0"/>
        <w:spacing w:line="240" w:lineRule="auto"/>
        <w:rPr>
          <w:b/>
          <w:bCs/>
          <w:sz w:val="24"/>
          <w:szCs w:val="24"/>
        </w:rPr>
      </w:pPr>
    </w:p>
    <w:p w14:paraId="5572DBD6" w14:textId="77777777" w:rsidR="0040376B" w:rsidRPr="002D1B68" w:rsidRDefault="00000000">
      <w:pPr>
        <w:keepLines/>
        <w:widowControl w:val="0"/>
        <w:spacing w:line="240" w:lineRule="auto"/>
        <w:rPr>
          <w:sz w:val="24"/>
          <w:szCs w:val="24"/>
        </w:rPr>
      </w:pPr>
      <w:r w:rsidRPr="002D1B68">
        <w:rPr>
          <w:b/>
          <w:bCs/>
          <w:sz w:val="24"/>
          <w:szCs w:val="24"/>
        </w:rPr>
        <w:t>REFERÊNCIAS</w:t>
      </w:r>
      <w:r w:rsidRPr="002D1B68">
        <w:rPr>
          <w:sz w:val="24"/>
          <w:szCs w:val="24"/>
        </w:rPr>
        <w:t xml:space="preserve"> </w:t>
      </w:r>
    </w:p>
    <w:p w14:paraId="3316CF27" w14:textId="77777777" w:rsidR="0040376B" w:rsidRPr="002D1B68" w:rsidRDefault="0040376B">
      <w:pPr>
        <w:spacing w:after="200" w:line="240" w:lineRule="auto"/>
        <w:jc w:val="both"/>
        <w:rPr>
          <w:b/>
          <w:bCs/>
          <w:sz w:val="24"/>
          <w:szCs w:val="24"/>
        </w:rPr>
      </w:pPr>
    </w:p>
    <w:p w14:paraId="62DC7B17" w14:textId="77777777" w:rsidR="004E2578" w:rsidRPr="002D1B68" w:rsidRDefault="004E2578" w:rsidP="004E2578">
      <w:pPr>
        <w:pStyle w:val="SemEspaamento"/>
        <w:rPr>
          <w:rFonts w:ascii="Arial" w:hAnsi="Arial" w:cs="Arial"/>
          <w:sz w:val="24"/>
          <w:szCs w:val="24"/>
        </w:rPr>
      </w:pPr>
    </w:p>
    <w:p w14:paraId="3F6B0ADB"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 xml:space="preserve">CARNEIRO, Sueli. </w:t>
      </w:r>
      <w:r w:rsidRPr="002D1B68">
        <w:rPr>
          <w:rFonts w:ascii="Arial" w:hAnsi="Arial" w:cs="Arial"/>
          <w:b/>
          <w:bCs/>
          <w:sz w:val="24"/>
          <w:szCs w:val="24"/>
        </w:rPr>
        <w:t>Dispositivo da racialidade</w:t>
      </w:r>
      <w:r w:rsidRPr="002D1B68">
        <w:rPr>
          <w:rFonts w:ascii="Arial" w:hAnsi="Arial" w:cs="Arial"/>
          <w:sz w:val="24"/>
          <w:szCs w:val="24"/>
        </w:rPr>
        <w:t>: a construção do outro como não ser como fundamento do ser. São Paulo: Zahar, 2023.</w:t>
      </w:r>
    </w:p>
    <w:p w14:paraId="3B06ADF5" w14:textId="77777777" w:rsidR="004E2578" w:rsidRPr="002D1B68" w:rsidRDefault="004E2578" w:rsidP="004E2578">
      <w:pPr>
        <w:pStyle w:val="SemEspaamento"/>
        <w:rPr>
          <w:rFonts w:ascii="Arial" w:hAnsi="Arial" w:cs="Arial"/>
          <w:sz w:val="24"/>
          <w:szCs w:val="24"/>
        </w:rPr>
      </w:pPr>
    </w:p>
    <w:p w14:paraId="0A4C54A4"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 xml:space="preserve">DELEUZE, Gilles; GUATTARI, Félix. </w:t>
      </w:r>
      <w:r w:rsidRPr="002D1B68">
        <w:rPr>
          <w:rFonts w:ascii="Arial" w:hAnsi="Arial" w:cs="Arial"/>
          <w:b/>
          <w:bCs/>
          <w:sz w:val="24"/>
          <w:szCs w:val="24"/>
        </w:rPr>
        <w:t>Mil platôs</w:t>
      </w:r>
      <w:r w:rsidRPr="002D1B68">
        <w:rPr>
          <w:rFonts w:ascii="Arial" w:hAnsi="Arial" w:cs="Arial"/>
          <w:sz w:val="24"/>
          <w:szCs w:val="24"/>
        </w:rPr>
        <w:t xml:space="preserve">: capitalismo e esquizofrenia. Vol. 4. Trad. Suely </w:t>
      </w:r>
      <w:proofErr w:type="spellStart"/>
      <w:r w:rsidRPr="002D1B68">
        <w:rPr>
          <w:rFonts w:ascii="Arial" w:hAnsi="Arial" w:cs="Arial"/>
          <w:sz w:val="24"/>
          <w:szCs w:val="24"/>
        </w:rPr>
        <w:t>Rolnik</w:t>
      </w:r>
      <w:proofErr w:type="spellEnd"/>
      <w:r w:rsidRPr="002D1B68">
        <w:rPr>
          <w:rFonts w:ascii="Arial" w:hAnsi="Arial" w:cs="Arial"/>
          <w:sz w:val="24"/>
          <w:szCs w:val="24"/>
        </w:rPr>
        <w:t>. São Paulo: Editora 34, 2008.</w:t>
      </w:r>
    </w:p>
    <w:p w14:paraId="2D57D9BE" w14:textId="77777777" w:rsidR="004E2578" w:rsidRPr="002D1B68" w:rsidRDefault="004E2578" w:rsidP="004E2578">
      <w:pPr>
        <w:pStyle w:val="SemEspaamento"/>
        <w:rPr>
          <w:rFonts w:ascii="Arial" w:hAnsi="Arial" w:cs="Arial"/>
          <w:sz w:val="24"/>
          <w:szCs w:val="24"/>
        </w:rPr>
      </w:pPr>
    </w:p>
    <w:p w14:paraId="1E49106A"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 xml:space="preserve">EVARISTO, Conceição. Destaque Conceição Evaristo. </w:t>
      </w:r>
      <w:r w:rsidRPr="002D1B68">
        <w:rPr>
          <w:rFonts w:ascii="Arial" w:hAnsi="Arial" w:cs="Arial"/>
          <w:b/>
          <w:bCs/>
          <w:sz w:val="24"/>
          <w:szCs w:val="24"/>
        </w:rPr>
        <w:t>Revista Conexão Literatura</w:t>
      </w:r>
      <w:r w:rsidRPr="002D1B68">
        <w:rPr>
          <w:rFonts w:ascii="Arial" w:hAnsi="Arial" w:cs="Arial"/>
          <w:sz w:val="24"/>
          <w:szCs w:val="24"/>
        </w:rPr>
        <w:t>, p. 5-10, nº 24, junho – 2017.</w:t>
      </w:r>
    </w:p>
    <w:p w14:paraId="7407636F" w14:textId="77777777" w:rsidR="004E2578" w:rsidRPr="002D1B68" w:rsidRDefault="004E2578" w:rsidP="004E2578">
      <w:pPr>
        <w:pStyle w:val="SemEspaamento"/>
        <w:rPr>
          <w:rFonts w:ascii="Arial" w:hAnsi="Arial" w:cs="Arial"/>
          <w:sz w:val="24"/>
          <w:szCs w:val="24"/>
        </w:rPr>
      </w:pPr>
    </w:p>
    <w:p w14:paraId="508A5AE3" w14:textId="648DF4F2" w:rsidR="004E2578" w:rsidRPr="002D1B68" w:rsidRDefault="00663AE0" w:rsidP="004E2578">
      <w:pPr>
        <w:pStyle w:val="SemEspaamento"/>
        <w:rPr>
          <w:rFonts w:ascii="Arial" w:hAnsi="Arial" w:cs="Arial"/>
          <w:sz w:val="24"/>
          <w:szCs w:val="24"/>
        </w:rPr>
      </w:pPr>
      <w:r w:rsidRPr="002D1B68">
        <w:rPr>
          <w:rFonts w:ascii="Arial" w:hAnsi="Arial" w:cs="Arial"/>
          <w:sz w:val="24"/>
          <w:szCs w:val="24"/>
        </w:rPr>
        <w:t>FOUCAULT, Michel</w:t>
      </w:r>
      <w:r w:rsidRPr="002D1B68">
        <w:rPr>
          <w:rFonts w:ascii="Arial" w:hAnsi="Arial" w:cs="Arial"/>
          <w:b/>
          <w:bCs/>
          <w:sz w:val="24"/>
          <w:szCs w:val="24"/>
        </w:rPr>
        <w:t>.</w:t>
      </w:r>
      <w:r w:rsidRPr="002D1B68">
        <w:rPr>
          <w:rFonts w:ascii="Arial" w:hAnsi="Arial" w:cs="Arial"/>
          <w:sz w:val="24"/>
          <w:szCs w:val="24"/>
        </w:rPr>
        <w:t xml:space="preserve"> Microfísica do poder. Organização e tradução de Roberto Machado. 11. ed. Rio de Janeiro: Paz e Terra, 2021.</w:t>
      </w:r>
    </w:p>
    <w:p w14:paraId="7CB02FA2" w14:textId="77777777" w:rsidR="00663AE0" w:rsidRPr="002D1B68" w:rsidRDefault="00663AE0" w:rsidP="004E2578">
      <w:pPr>
        <w:pStyle w:val="SemEspaamento"/>
        <w:rPr>
          <w:rFonts w:ascii="Arial" w:hAnsi="Arial" w:cs="Arial"/>
          <w:sz w:val="24"/>
          <w:szCs w:val="24"/>
        </w:rPr>
      </w:pPr>
    </w:p>
    <w:p w14:paraId="66CD8C7B"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 xml:space="preserve">QUIJANO, Aníbal. </w:t>
      </w:r>
      <w:proofErr w:type="spellStart"/>
      <w:r w:rsidRPr="002D1B68">
        <w:rPr>
          <w:rFonts w:ascii="Arial" w:hAnsi="Arial" w:cs="Arial"/>
          <w:sz w:val="24"/>
          <w:szCs w:val="24"/>
        </w:rPr>
        <w:t>Colonialidad</w:t>
      </w:r>
      <w:proofErr w:type="spellEnd"/>
      <w:r w:rsidRPr="002D1B68">
        <w:rPr>
          <w:rFonts w:ascii="Arial" w:hAnsi="Arial" w:cs="Arial"/>
          <w:sz w:val="24"/>
          <w:szCs w:val="24"/>
        </w:rPr>
        <w:t xml:space="preserve"> </w:t>
      </w:r>
      <w:proofErr w:type="spellStart"/>
      <w:r w:rsidRPr="002D1B68">
        <w:rPr>
          <w:rFonts w:ascii="Arial" w:hAnsi="Arial" w:cs="Arial"/>
          <w:sz w:val="24"/>
          <w:szCs w:val="24"/>
        </w:rPr>
        <w:t>del</w:t>
      </w:r>
      <w:proofErr w:type="spellEnd"/>
      <w:r w:rsidRPr="002D1B68">
        <w:rPr>
          <w:rFonts w:ascii="Arial" w:hAnsi="Arial" w:cs="Arial"/>
          <w:sz w:val="24"/>
          <w:szCs w:val="24"/>
        </w:rPr>
        <w:t xml:space="preserve"> poder: Eurocentrismo y América Latina. </w:t>
      </w:r>
      <w:r w:rsidRPr="002D1B68">
        <w:rPr>
          <w:rFonts w:ascii="Arial" w:hAnsi="Arial" w:cs="Arial"/>
          <w:i/>
          <w:iCs/>
          <w:sz w:val="24"/>
          <w:szCs w:val="24"/>
        </w:rPr>
        <w:t>In</w:t>
      </w:r>
      <w:r w:rsidRPr="002D1B68">
        <w:rPr>
          <w:rFonts w:ascii="Arial" w:hAnsi="Arial" w:cs="Arial"/>
          <w:sz w:val="24"/>
          <w:szCs w:val="24"/>
        </w:rPr>
        <w:t xml:space="preserve">: LANDER, Edgardo. </w:t>
      </w:r>
      <w:r w:rsidRPr="002D1B68">
        <w:rPr>
          <w:rFonts w:ascii="Arial" w:hAnsi="Arial" w:cs="Arial"/>
          <w:b/>
          <w:bCs/>
          <w:sz w:val="24"/>
          <w:szCs w:val="24"/>
        </w:rPr>
        <w:t xml:space="preserve">La </w:t>
      </w:r>
      <w:proofErr w:type="spellStart"/>
      <w:r w:rsidRPr="002D1B68">
        <w:rPr>
          <w:rFonts w:ascii="Arial" w:hAnsi="Arial" w:cs="Arial"/>
          <w:b/>
          <w:bCs/>
          <w:sz w:val="24"/>
          <w:szCs w:val="24"/>
        </w:rPr>
        <w:t>Colonialidad</w:t>
      </w:r>
      <w:proofErr w:type="spellEnd"/>
      <w:r w:rsidRPr="002D1B68">
        <w:rPr>
          <w:rFonts w:ascii="Arial" w:hAnsi="Arial" w:cs="Arial"/>
          <w:b/>
          <w:bCs/>
          <w:sz w:val="24"/>
          <w:szCs w:val="24"/>
        </w:rPr>
        <w:t xml:space="preserve"> </w:t>
      </w:r>
      <w:proofErr w:type="spellStart"/>
      <w:r w:rsidRPr="002D1B68">
        <w:rPr>
          <w:rFonts w:ascii="Arial" w:hAnsi="Arial" w:cs="Arial"/>
          <w:b/>
          <w:bCs/>
          <w:sz w:val="24"/>
          <w:szCs w:val="24"/>
        </w:rPr>
        <w:t>del</w:t>
      </w:r>
      <w:proofErr w:type="spellEnd"/>
      <w:r w:rsidRPr="002D1B68">
        <w:rPr>
          <w:rFonts w:ascii="Arial" w:hAnsi="Arial" w:cs="Arial"/>
          <w:b/>
          <w:bCs/>
          <w:sz w:val="24"/>
          <w:szCs w:val="24"/>
        </w:rPr>
        <w:t xml:space="preserve"> saber</w:t>
      </w:r>
      <w:r w:rsidRPr="002D1B68">
        <w:rPr>
          <w:rFonts w:ascii="Arial" w:hAnsi="Arial" w:cs="Arial"/>
          <w:sz w:val="24"/>
          <w:szCs w:val="24"/>
        </w:rPr>
        <w:t xml:space="preserve">: Eurocentrismo y </w:t>
      </w:r>
      <w:proofErr w:type="spellStart"/>
      <w:r w:rsidRPr="002D1B68">
        <w:rPr>
          <w:rFonts w:ascii="Arial" w:hAnsi="Arial" w:cs="Arial"/>
          <w:sz w:val="24"/>
          <w:szCs w:val="24"/>
        </w:rPr>
        <w:t>ciencias</w:t>
      </w:r>
      <w:proofErr w:type="spellEnd"/>
      <w:r w:rsidRPr="002D1B68">
        <w:rPr>
          <w:rFonts w:ascii="Arial" w:hAnsi="Arial" w:cs="Arial"/>
          <w:sz w:val="24"/>
          <w:szCs w:val="24"/>
        </w:rPr>
        <w:t xml:space="preserve"> </w:t>
      </w:r>
      <w:proofErr w:type="spellStart"/>
      <w:r w:rsidRPr="002D1B68">
        <w:rPr>
          <w:rFonts w:ascii="Arial" w:hAnsi="Arial" w:cs="Arial"/>
          <w:sz w:val="24"/>
          <w:szCs w:val="24"/>
        </w:rPr>
        <w:t>sociales</w:t>
      </w:r>
      <w:proofErr w:type="spellEnd"/>
      <w:r w:rsidRPr="002D1B68">
        <w:rPr>
          <w:rFonts w:ascii="Arial" w:hAnsi="Arial" w:cs="Arial"/>
          <w:sz w:val="24"/>
          <w:szCs w:val="24"/>
        </w:rPr>
        <w:t xml:space="preserve">: perspectivas </w:t>
      </w:r>
      <w:proofErr w:type="spellStart"/>
      <w:r w:rsidRPr="002D1B68">
        <w:rPr>
          <w:rFonts w:ascii="Arial" w:hAnsi="Arial" w:cs="Arial"/>
          <w:sz w:val="24"/>
          <w:szCs w:val="24"/>
        </w:rPr>
        <w:t>latinoamericanas</w:t>
      </w:r>
      <w:proofErr w:type="spellEnd"/>
      <w:r w:rsidRPr="002D1B68">
        <w:rPr>
          <w:rFonts w:ascii="Arial" w:hAnsi="Arial" w:cs="Arial"/>
          <w:sz w:val="24"/>
          <w:szCs w:val="24"/>
        </w:rPr>
        <w:t>. Argentina, CLACSO, p. 201-246, 2000.</w:t>
      </w:r>
    </w:p>
    <w:p w14:paraId="72D17942" w14:textId="77777777" w:rsidR="00634BB5" w:rsidRPr="002D1B68" w:rsidRDefault="00634BB5" w:rsidP="004E2578">
      <w:pPr>
        <w:pStyle w:val="SemEspaamento"/>
        <w:rPr>
          <w:rFonts w:ascii="Arial" w:hAnsi="Arial" w:cs="Arial"/>
          <w:sz w:val="24"/>
          <w:szCs w:val="24"/>
        </w:rPr>
      </w:pPr>
    </w:p>
    <w:p w14:paraId="6ACD59AE" w14:textId="36D21453" w:rsidR="00634BB5" w:rsidRPr="002D1B68" w:rsidRDefault="00634BB5" w:rsidP="004E2578">
      <w:pPr>
        <w:pStyle w:val="SemEspaamento"/>
        <w:rPr>
          <w:rFonts w:ascii="Arial" w:hAnsi="Arial" w:cs="Arial"/>
          <w:sz w:val="24"/>
          <w:szCs w:val="24"/>
        </w:rPr>
      </w:pPr>
      <w:r w:rsidRPr="002D1B68">
        <w:rPr>
          <w:rFonts w:ascii="Arial" w:hAnsi="Arial" w:cs="Arial"/>
          <w:b/>
          <w:bCs/>
          <w:sz w:val="24"/>
          <w:szCs w:val="24"/>
        </w:rPr>
        <w:t>UNIVERSIDADE FEDERAL DO TOCANTINS (UFT).</w:t>
      </w:r>
      <w:r w:rsidRPr="002D1B68">
        <w:rPr>
          <w:rFonts w:ascii="Arial" w:hAnsi="Arial" w:cs="Arial"/>
          <w:sz w:val="24"/>
          <w:szCs w:val="24"/>
        </w:rPr>
        <w:t xml:space="preserve"> </w:t>
      </w:r>
      <w:r w:rsidRPr="002D1B68">
        <w:rPr>
          <w:rFonts w:ascii="Arial" w:hAnsi="Arial" w:cs="Arial"/>
          <w:i/>
          <w:iCs/>
          <w:sz w:val="24"/>
          <w:szCs w:val="24"/>
        </w:rPr>
        <w:t>Projeto Pedagógico do Curso (PPC) de Licenciatura em Educação Escolar Quilombola (</w:t>
      </w:r>
      <w:proofErr w:type="spellStart"/>
      <w:r w:rsidRPr="002D1B68">
        <w:rPr>
          <w:rFonts w:ascii="Arial" w:hAnsi="Arial" w:cs="Arial"/>
          <w:i/>
          <w:iCs/>
          <w:sz w:val="24"/>
          <w:szCs w:val="24"/>
        </w:rPr>
        <w:t>Parfor</w:t>
      </w:r>
      <w:proofErr w:type="spellEnd"/>
      <w:r w:rsidRPr="002D1B68">
        <w:rPr>
          <w:rFonts w:ascii="Arial" w:hAnsi="Arial" w:cs="Arial"/>
          <w:i/>
          <w:iCs/>
          <w:sz w:val="24"/>
          <w:szCs w:val="24"/>
        </w:rPr>
        <w:t>), Câmpus de Arraias</w:t>
      </w:r>
      <w:r w:rsidRPr="002D1B68">
        <w:rPr>
          <w:rFonts w:ascii="Arial" w:hAnsi="Arial" w:cs="Arial"/>
          <w:sz w:val="24"/>
          <w:szCs w:val="24"/>
        </w:rPr>
        <w:t>. Anexo da Resolução nº 100, de 6 de dezembro de 2023, do Conselho de Ensino, Pesquisa e Extensão (CONSEPE). Palmas, TO: UFT, 2023.</w:t>
      </w:r>
    </w:p>
    <w:p w14:paraId="7693389A" w14:textId="77777777" w:rsidR="004E2578" w:rsidRPr="002D1B68" w:rsidRDefault="004E2578" w:rsidP="004E2578">
      <w:pPr>
        <w:pStyle w:val="SemEspaamento"/>
        <w:rPr>
          <w:rFonts w:ascii="Arial" w:hAnsi="Arial" w:cs="Arial"/>
          <w:sz w:val="24"/>
          <w:szCs w:val="24"/>
        </w:rPr>
      </w:pPr>
    </w:p>
    <w:p w14:paraId="08EF57B2" w14:textId="0AFA875F" w:rsidR="004E2578" w:rsidRPr="002D1B68" w:rsidRDefault="004E2578" w:rsidP="004E2578">
      <w:pPr>
        <w:pStyle w:val="SemEspaamento"/>
        <w:rPr>
          <w:rFonts w:ascii="Arial" w:hAnsi="Arial" w:cs="Arial"/>
          <w:sz w:val="24"/>
          <w:szCs w:val="24"/>
        </w:rPr>
      </w:pPr>
      <w:r w:rsidRPr="002D1B68">
        <w:rPr>
          <w:rFonts w:ascii="Arial" w:hAnsi="Arial" w:cs="Arial"/>
          <w:sz w:val="24"/>
          <w:szCs w:val="24"/>
        </w:rPr>
        <w:t>PÉREZ, Carmen L</w:t>
      </w:r>
      <w:r w:rsidR="00634BB5" w:rsidRPr="002D1B68">
        <w:rPr>
          <w:rFonts w:ascii="Arial" w:hAnsi="Arial" w:cs="Arial"/>
          <w:sz w:val="24"/>
          <w:szCs w:val="24"/>
        </w:rPr>
        <w:t>úcia</w:t>
      </w:r>
      <w:r w:rsidRPr="002D1B68">
        <w:rPr>
          <w:rFonts w:ascii="Arial" w:hAnsi="Arial" w:cs="Arial"/>
          <w:sz w:val="24"/>
          <w:szCs w:val="24"/>
        </w:rPr>
        <w:t xml:space="preserve"> V</w:t>
      </w:r>
      <w:r w:rsidR="00634BB5" w:rsidRPr="002D1B68">
        <w:rPr>
          <w:rFonts w:ascii="Arial" w:hAnsi="Arial" w:cs="Arial"/>
          <w:sz w:val="24"/>
          <w:szCs w:val="24"/>
        </w:rPr>
        <w:t>idal</w:t>
      </w:r>
      <w:r w:rsidRPr="002D1B68">
        <w:rPr>
          <w:rFonts w:ascii="Arial" w:hAnsi="Arial" w:cs="Arial"/>
          <w:sz w:val="24"/>
          <w:szCs w:val="24"/>
        </w:rPr>
        <w:t xml:space="preserve">. </w:t>
      </w:r>
      <w:r w:rsidRPr="002D1B68">
        <w:rPr>
          <w:rFonts w:ascii="Arial" w:hAnsi="Arial" w:cs="Arial"/>
          <w:b/>
          <w:bCs/>
          <w:sz w:val="24"/>
          <w:szCs w:val="24"/>
        </w:rPr>
        <w:t>Professoras Alfabetizadoras</w:t>
      </w:r>
      <w:r w:rsidRPr="002D1B68">
        <w:rPr>
          <w:rFonts w:ascii="Arial" w:hAnsi="Arial" w:cs="Arial"/>
          <w:sz w:val="24"/>
          <w:szCs w:val="24"/>
        </w:rPr>
        <w:t>. Histórias plurais, práticas singulares. Rio de Janeiro. D.P&amp;A, 2003.</w:t>
      </w:r>
    </w:p>
    <w:p w14:paraId="610402EE" w14:textId="77777777" w:rsidR="004E2578" w:rsidRPr="002D1B68" w:rsidRDefault="004E2578" w:rsidP="004E2578">
      <w:pPr>
        <w:pStyle w:val="SemEspaamento"/>
        <w:rPr>
          <w:rFonts w:ascii="Arial" w:hAnsi="Arial" w:cs="Arial"/>
          <w:sz w:val="24"/>
          <w:szCs w:val="24"/>
        </w:rPr>
      </w:pPr>
    </w:p>
    <w:p w14:paraId="71F1584C"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 xml:space="preserve">PIEDADE, Vilma. </w:t>
      </w:r>
      <w:proofErr w:type="spellStart"/>
      <w:r w:rsidRPr="002D1B68">
        <w:rPr>
          <w:rFonts w:ascii="Arial" w:hAnsi="Arial" w:cs="Arial"/>
          <w:b/>
          <w:bCs/>
          <w:sz w:val="24"/>
          <w:szCs w:val="24"/>
        </w:rPr>
        <w:t>Dororidade</w:t>
      </w:r>
      <w:proofErr w:type="spellEnd"/>
      <w:r w:rsidRPr="002D1B68">
        <w:rPr>
          <w:rFonts w:ascii="Arial" w:hAnsi="Arial" w:cs="Arial"/>
          <w:sz w:val="24"/>
          <w:szCs w:val="24"/>
        </w:rPr>
        <w:t>. São Paulo: Editora Nós, 2019.</w:t>
      </w:r>
    </w:p>
    <w:p w14:paraId="52D554C5" w14:textId="77777777" w:rsidR="004E2578" w:rsidRPr="002D1B68" w:rsidRDefault="004E2578" w:rsidP="004E2578">
      <w:pPr>
        <w:pStyle w:val="SemEspaamento"/>
        <w:rPr>
          <w:rFonts w:ascii="Arial" w:hAnsi="Arial" w:cs="Arial"/>
          <w:sz w:val="24"/>
          <w:szCs w:val="24"/>
        </w:rPr>
      </w:pPr>
    </w:p>
    <w:p w14:paraId="5D21D877"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SANTOS, Antônio Bispo dos. </w:t>
      </w:r>
      <w:r w:rsidRPr="002D1B68">
        <w:rPr>
          <w:rFonts w:ascii="Arial" w:hAnsi="Arial" w:cs="Arial"/>
          <w:b/>
          <w:bCs/>
          <w:sz w:val="24"/>
          <w:szCs w:val="24"/>
        </w:rPr>
        <w:t>A terra dá, a terra quer</w:t>
      </w:r>
      <w:r w:rsidRPr="002D1B68">
        <w:rPr>
          <w:rFonts w:ascii="Arial" w:hAnsi="Arial" w:cs="Arial"/>
          <w:i/>
          <w:iCs/>
          <w:sz w:val="24"/>
          <w:szCs w:val="24"/>
        </w:rPr>
        <w:t>.</w:t>
      </w:r>
      <w:r w:rsidRPr="002D1B68">
        <w:rPr>
          <w:rFonts w:ascii="Arial" w:hAnsi="Arial" w:cs="Arial"/>
          <w:sz w:val="24"/>
          <w:szCs w:val="24"/>
        </w:rPr>
        <w:t> São Paulo: Ubu Editora/PISEAGRAMA, 2023.</w:t>
      </w:r>
    </w:p>
    <w:p w14:paraId="767A3155" w14:textId="77777777" w:rsidR="004E2578" w:rsidRPr="002D1B68" w:rsidRDefault="004E2578" w:rsidP="004E2578">
      <w:pPr>
        <w:pStyle w:val="SemEspaamento"/>
        <w:rPr>
          <w:rFonts w:ascii="Arial" w:hAnsi="Arial" w:cs="Arial"/>
          <w:sz w:val="24"/>
          <w:szCs w:val="24"/>
        </w:rPr>
      </w:pPr>
    </w:p>
    <w:p w14:paraId="48C37D7E"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 xml:space="preserve">SOUSA, Nilcelio S. de. </w:t>
      </w:r>
      <w:r w:rsidRPr="002D1B68">
        <w:rPr>
          <w:rFonts w:ascii="Arial" w:hAnsi="Arial" w:cs="Arial"/>
          <w:b/>
          <w:bCs/>
          <w:sz w:val="24"/>
          <w:szCs w:val="24"/>
        </w:rPr>
        <w:t>Viagens e narrativas sobre gênero e sexualidade na (</w:t>
      </w:r>
      <w:proofErr w:type="spellStart"/>
      <w:r w:rsidRPr="002D1B68">
        <w:rPr>
          <w:rFonts w:ascii="Arial" w:hAnsi="Arial" w:cs="Arial"/>
          <w:b/>
          <w:bCs/>
          <w:sz w:val="24"/>
          <w:szCs w:val="24"/>
        </w:rPr>
        <w:t>des</w:t>
      </w:r>
      <w:proofErr w:type="spellEnd"/>
      <w:r w:rsidRPr="002D1B68">
        <w:rPr>
          <w:rFonts w:ascii="Arial" w:hAnsi="Arial" w:cs="Arial"/>
          <w:b/>
          <w:bCs/>
          <w:sz w:val="24"/>
          <w:szCs w:val="24"/>
        </w:rPr>
        <w:t xml:space="preserve">)formação docente: </w:t>
      </w:r>
      <w:r w:rsidRPr="002D1B68">
        <w:rPr>
          <w:rFonts w:ascii="Arial" w:hAnsi="Arial" w:cs="Arial"/>
          <w:sz w:val="24"/>
          <w:szCs w:val="24"/>
        </w:rPr>
        <w:t>(</w:t>
      </w:r>
      <w:proofErr w:type="spellStart"/>
      <w:r w:rsidRPr="002D1B68">
        <w:rPr>
          <w:rFonts w:ascii="Arial" w:hAnsi="Arial" w:cs="Arial"/>
          <w:sz w:val="24"/>
          <w:szCs w:val="24"/>
        </w:rPr>
        <w:t>re</w:t>
      </w:r>
      <w:proofErr w:type="spellEnd"/>
      <w:r w:rsidRPr="002D1B68">
        <w:rPr>
          <w:rFonts w:ascii="Arial" w:hAnsi="Arial" w:cs="Arial"/>
          <w:sz w:val="24"/>
          <w:szCs w:val="24"/>
        </w:rPr>
        <w:t>)invenção de mim e de nós. 2022. Tese (Doutorado</w:t>
      </w:r>
      <w:r w:rsidRPr="002D1B68">
        <w:rPr>
          <w:rFonts w:ascii="Arial" w:hAnsi="Arial" w:cs="Arial"/>
          <w:b/>
          <w:bCs/>
          <w:sz w:val="24"/>
          <w:szCs w:val="24"/>
        </w:rPr>
        <w:t xml:space="preserve"> </w:t>
      </w:r>
      <w:r w:rsidRPr="002D1B68">
        <w:rPr>
          <w:rFonts w:ascii="Arial" w:hAnsi="Arial" w:cs="Arial"/>
          <w:sz w:val="24"/>
          <w:szCs w:val="24"/>
        </w:rPr>
        <w:t>em Educação) – Faculdade de Educação, Universidade Federal Fluminense,</w:t>
      </w:r>
      <w:r w:rsidRPr="002D1B68">
        <w:rPr>
          <w:rFonts w:ascii="Arial" w:hAnsi="Arial" w:cs="Arial"/>
          <w:b/>
          <w:bCs/>
          <w:sz w:val="24"/>
          <w:szCs w:val="24"/>
        </w:rPr>
        <w:t xml:space="preserve"> </w:t>
      </w:r>
      <w:r w:rsidRPr="002D1B68">
        <w:rPr>
          <w:rFonts w:ascii="Arial" w:hAnsi="Arial" w:cs="Arial"/>
          <w:sz w:val="24"/>
          <w:szCs w:val="24"/>
        </w:rPr>
        <w:t>Niterói/RJ, 2022.</w:t>
      </w:r>
    </w:p>
    <w:p w14:paraId="0EB22F1B" w14:textId="77777777" w:rsidR="004E2578" w:rsidRPr="002D1B68" w:rsidRDefault="004E2578" w:rsidP="004E2578">
      <w:pPr>
        <w:pStyle w:val="SemEspaamento"/>
        <w:rPr>
          <w:rFonts w:ascii="Arial" w:hAnsi="Arial" w:cs="Arial"/>
          <w:sz w:val="24"/>
          <w:szCs w:val="24"/>
        </w:rPr>
      </w:pPr>
    </w:p>
    <w:p w14:paraId="64C5DA99" w14:textId="77777777" w:rsidR="004E2578" w:rsidRPr="002D1B68" w:rsidRDefault="004E2578" w:rsidP="004E2578">
      <w:pPr>
        <w:pStyle w:val="SemEspaamento"/>
        <w:rPr>
          <w:rFonts w:ascii="Arial" w:hAnsi="Arial" w:cs="Arial"/>
          <w:sz w:val="24"/>
          <w:szCs w:val="24"/>
        </w:rPr>
      </w:pPr>
      <w:r w:rsidRPr="002D1B68">
        <w:rPr>
          <w:rFonts w:ascii="Arial" w:hAnsi="Arial" w:cs="Arial"/>
          <w:sz w:val="24"/>
          <w:szCs w:val="24"/>
        </w:rPr>
        <w:t xml:space="preserve">SPIVAK, Gayatri Chakravorty. </w:t>
      </w:r>
      <w:r w:rsidRPr="002D1B68">
        <w:rPr>
          <w:rFonts w:ascii="Arial" w:hAnsi="Arial" w:cs="Arial"/>
          <w:b/>
          <w:bCs/>
          <w:sz w:val="24"/>
          <w:szCs w:val="24"/>
        </w:rPr>
        <w:t xml:space="preserve">Pode o subalterno falar? </w:t>
      </w:r>
      <w:r w:rsidRPr="002D1B68">
        <w:rPr>
          <w:rFonts w:ascii="Arial" w:hAnsi="Arial" w:cs="Arial"/>
          <w:sz w:val="24"/>
          <w:szCs w:val="24"/>
        </w:rPr>
        <w:t>Belo Horizonte: Editora UFMG, 2014.</w:t>
      </w:r>
    </w:p>
    <w:p w14:paraId="15601DD7" w14:textId="77777777" w:rsidR="004E2578" w:rsidRPr="002D1B68" w:rsidRDefault="004E2578" w:rsidP="004E2578">
      <w:pPr>
        <w:pStyle w:val="SemEspaamento"/>
        <w:rPr>
          <w:rFonts w:ascii="Arial" w:hAnsi="Arial" w:cs="Arial"/>
          <w:b/>
          <w:bCs/>
          <w:sz w:val="24"/>
          <w:szCs w:val="24"/>
        </w:rPr>
      </w:pPr>
    </w:p>
    <w:p w14:paraId="2365770E" w14:textId="77777777" w:rsidR="004E2578" w:rsidRPr="002D1B68" w:rsidRDefault="004E2578" w:rsidP="004E2578">
      <w:pPr>
        <w:pStyle w:val="SemEspaamento"/>
        <w:rPr>
          <w:rFonts w:ascii="Arial" w:hAnsi="Arial" w:cs="Arial"/>
          <w:sz w:val="24"/>
          <w:szCs w:val="24"/>
        </w:rPr>
      </w:pPr>
    </w:p>
    <w:p w14:paraId="06952589" w14:textId="77777777" w:rsidR="004E2578" w:rsidRPr="002D1B68" w:rsidRDefault="004E2578" w:rsidP="004E2578">
      <w:pPr>
        <w:pStyle w:val="SemEspaamento"/>
        <w:rPr>
          <w:rFonts w:ascii="Arial" w:hAnsi="Arial" w:cs="Arial"/>
          <w:sz w:val="24"/>
          <w:szCs w:val="24"/>
        </w:rPr>
      </w:pPr>
    </w:p>
    <w:p w14:paraId="22CDBD42" w14:textId="77777777" w:rsidR="004E2578" w:rsidRPr="002D1B68" w:rsidRDefault="004E2578" w:rsidP="004E2578">
      <w:pPr>
        <w:pStyle w:val="SemEspaamento"/>
        <w:rPr>
          <w:rFonts w:ascii="Arial" w:hAnsi="Arial" w:cs="Arial"/>
          <w:sz w:val="24"/>
          <w:szCs w:val="24"/>
        </w:rPr>
      </w:pPr>
    </w:p>
    <w:p w14:paraId="187D701E" w14:textId="77777777" w:rsidR="004E2578" w:rsidRPr="002D1B68" w:rsidRDefault="004E2578">
      <w:pPr>
        <w:spacing w:after="200" w:line="240" w:lineRule="auto"/>
        <w:jc w:val="both"/>
        <w:rPr>
          <w:b/>
          <w:bCs/>
          <w:sz w:val="24"/>
          <w:szCs w:val="24"/>
        </w:rPr>
      </w:pPr>
    </w:p>
    <w:sectPr w:rsidR="004E2578" w:rsidRPr="002D1B68">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BB5EA" w14:textId="77777777" w:rsidR="00984606" w:rsidRDefault="00984606">
      <w:pPr>
        <w:spacing w:line="240" w:lineRule="auto"/>
      </w:pPr>
      <w:r>
        <w:separator/>
      </w:r>
    </w:p>
  </w:endnote>
  <w:endnote w:type="continuationSeparator" w:id="0">
    <w:p w14:paraId="5D03FC49" w14:textId="77777777" w:rsidR="00984606" w:rsidRDefault="009846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AD6B33B-91EF-4918-9E4A-A750566EE253}"/>
    <w:embedBold r:id="rId2" w:fontKey="{5938BB03-5DBB-4389-A4A4-26CF2E1D5473}"/>
    <w:embedItalic r:id="rId3" w:fontKey="{B134EB18-CFF8-4C15-A93E-A77020A0AA17}"/>
  </w:font>
  <w:font w:name="Calibri">
    <w:panose1 w:val="020F0502020204030204"/>
    <w:charset w:val="00"/>
    <w:family w:val="swiss"/>
    <w:pitch w:val="variable"/>
    <w:sig w:usb0="E4002EFF" w:usb1="C200247B" w:usb2="00000009" w:usb3="00000000" w:csb0="000001FF" w:csb1="00000000"/>
    <w:embedRegular r:id="rId4" w:fontKey="{C8C891A7-EE23-4A82-B0F5-4E12F481D7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4EC9" w14:textId="77777777" w:rsidR="0040376B" w:rsidRDefault="00000000">
    <w:pPr>
      <w:jc w:val="center"/>
    </w:pPr>
    <w:r>
      <w:fldChar w:fldCharType="begin"/>
    </w:r>
    <w:r>
      <w:instrText>PAGE</w:instrText>
    </w:r>
    <w:r>
      <w:fldChar w:fldCharType="separate"/>
    </w:r>
    <w:r w:rsidR="00B31D5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E4E5" w14:textId="77777777" w:rsidR="0040376B" w:rsidRDefault="004037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9ECA" w14:textId="77777777" w:rsidR="00984606" w:rsidRDefault="00984606">
      <w:pPr>
        <w:spacing w:line="240" w:lineRule="auto"/>
      </w:pPr>
      <w:r>
        <w:separator/>
      </w:r>
    </w:p>
  </w:footnote>
  <w:footnote w:type="continuationSeparator" w:id="0">
    <w:p w14:paraId="21B70561" w14:textId="77777777" w:rsidR="00984606" w:rsidRDefault="009846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67B4" w14:textId="77777777" w:rsidR="0040376B" w:rsidRDefault="00000000">
    <w:pPr>
      <w:jc w:val="right"/>
    </w:pPr>
    <w:r>
      <w:rPr>
        <w:noProof/>
      </w:rPr>
      <w:drawing>
        <wp:anchor distT="114300" distB="114300" distL="114300" distR="114300" simplePos="0" relativeHeight="251658240" behindDoc="1" locked="0" layoutInCell="1" hidden="0" allowOverlap="1" wp14:anchorId="5FCCDE44" wp14:editId="5177AFA4">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79A17B7" wp14:editId="6D8CD252">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105F2C8D" w14:textId="77777777" w:rsidR="0040376B" w:rsidRDefault="0040376B">
    <w:pPr>
      <w:jc w:val="right"/>
    </w:pPr>
  </w:p>
  <w:p w14:paraId="2E3CCDA1" w14:textId="77777777" w:rsidR="0040376B" w:rsidRDefault="0040376B">
    <w:pPr>
      <w:jc w:val="right"/>
    </w:pPr>
  </w:p>
  <w:p w14:paraId="6DA95A00" w14:textId="77777777" w:rsidR="0040376B" w:rsidRDefault="00000000">
    <w:r>
      <w:rPr>
        <w:noProof/>
      </w:rPr>
      <w:drawing>
        <wp:anchor distT="114300" distB="114300" distL="114300" distR="114300" simplePos="0" relativeHeight="251660288" behindDoc="1" locked="0" layoutInCell="1" hidden="0" allowOverlap="1" wp14:anchorId="4E6D83F5" wp14:editId="5A6C24B2">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E78F" w14:textId="77777777" w:rsidR="0040376B" w:rsidRDefault="0040376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76B"/>
    <w:rsid w:val="00074B5D"/>
    <w:rsid w:val="00110F8F"/>
    <w:rsid w:val="002D1B68"/>
    <w:rsid w:val="003A42D0"/>
    <w:rsid w:val="003E474C"/>
    <w:rsid w:val="0040376B"/>
    <w:rsid w:val="004E2578"/>
    <w:rsid w:val="0060083F"/>
    <w:rsid w:val="00634BB5"/>
    <w:rsid w:val="00663AE0"/>
    <w:rsid w:val="006B4EBE"/>
    <w:rsid w:val="00757129"/>
    <w:rsid w:val="0076513A"/>
    <w:rsid w:val="00920601"/>
    <w:rsid w:val="00984606"/>
    <w:rsid w:val="00AE17C8"/>
    <w:rsid w:val="00B31D51"/>
    <w:rsid w:val="00C52E85"/>
    <w:rsid w:val="00D348E5"/>
    <w:rsid w:val="00E145D3"/>
    <w:rsid w:val="00E90CCF"/>
    <w:rsid w:val="00EB074F"/>
    <w:rsid w:val="00F511E0"/>
    <w:rsid w:val="00FA05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EE10"/>
  <w15:docId w15:val="{E44E0CB5-46CE-4606-968A-A7137503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SemEspaamento">
    <w:name w:val="No Spacing"/>
    <w:uiPriority w:val="1"/>
    <w:qFormat/>
    <w:rsid w:val="004E2578"/>
    <w:pPr>
      <w:spacing w:line="240" w:lineRule="auto"/>
    </w:pPr>
    <w:rPr>
      <w:rFonts w:asciiTheme="minorHAnsi" w:eastAsiaTheme="minorHAnsi" w:hAnsiTheme="minorHAnsi" w:cstheme="minorBidi"/>
      <w:lang w:eastAsia="en-US"/>
    </w:rPr>
  </w:style>
  <w:style w:type="character" w:styleId="Hyperlink">
    <w:name w:val="Hyperlink"/>
    <w:basedOn w:val="Fontepargpadro"/>
    <w:uiPriority w:val="99"/>
    <w:unhideWhenUsed/>
    <w:rsid w:val="004E2578"/>
    <w:rPr>
      <w:color w:val="0000FF" w:themeColor="hyperlink"/>
      <w:u w:val="single"/>
    </w:rPr>
  </w:style>
  <w:style w:type="character" w:styleId="MenoPendente">
    <w:name w:val="Unresolved Mention"/>
    <w:basedOn w:val="Fontepargpadro"/>
    <w:uiPriority w:val="99"/>
    <w:semiHidden/>
    <w:unhideWhenUsed/>
    <w:rsid w:val="004E2578"/>
    <w:rPr>
      <w:color w:val="605E5C"/>
      <w:shd w:val="clear" w:color="auto" w:fill="E1DFDD"/>
    </w:rPr>
  </w:style>
  <w:style w:type="character" w:styleId="Refdecomentrio">
    <w:name w:val="annotation reference"/>
    <w:basedOn w:val="Fontepargpadro"/>
    <w:uiPriority w:val="99"/>
    <w:semiHidden/>
    <w:unhideWhenUsed/>
    <w:rsid w:val="0060083F"/>
    <w:rPr>
      <w:sz w:val="16"/>
      <w:szCs w:val="16"/>
    </w:rPr>
  </w:style>
  <w:style w:type="paragraph" w:styleId="Textodecomentrio">
    <w:name w:val="annotation text"/>
    <w:basedOn w:val="Normal"/>
    <w:link w:val="TextodecomentrioChar"/>
    <w:uiPriority w:val="99"/>
    <w:unhideWhenUsed/>
    <w:rsid w:val="0060083F"/>
    <w:pPr>
      <w:spacing w:line="240" w:lineRule="auto"/>
    </w:pPr>
    <w:rPr>
      <w:sz w:val="20"/>
      <w:szCs w:val="20"/>
    </w:rPr>
  </w:style>
  <w:style w:type="character" w:customStyle="1" w:styleId="TextodecomentrioChar">
    <w:name w:val="Texto de comentário Char"/>
    <w:basedOn w:val="Fontepargpadro"/>
    <w:link w:val="Textodecomentrio"/>
    <w:uiPriority w:val="99"/>
    <w:rsid w:val="0060083F"/>
    <w:rPr>
      <w:sz w:val="20"/>
      <w:szCs w:val="20"/>
    </w:rPr>
  </w:style>
  <w:style w:type="paragraph" w:styleId="Assuntodocomentrio">
    <w:name w:val="annotation subject"/>
    <w:basedOn w:val="Textodecomentrio"/>
    <w:next w:val="Textodecomentrio"/>
    <w:link w:val="AssuntodocomentrioChar"/>
    <w:uiPriority w:val="99"/>
    <w:semiHidden/>
    <w:unhideWhenUsed/>
    <w:rsid w:val="0060083F"/>
    <w:rPr>
      <w:b/>
      <w:bCs/>
    </w:rPr>
  </w:style>
  <w:style w:type="character" w:customStyle="1" w:styleId="AssuntodocomentrioChar">
    <w:name w:val="Assunto do comentário Char"/>
    <w:basedOn w:val="TextodecomentrioChar"/>
    <w:link w:val="Assuntodocomentrio"/>
    <w:uiPriority w:val="99"/>
    <w:semiHidden/>
    <w:rsid w:val="0060083F"/>
    <w:rPr>
      <w:b/>
      <w:bCs/>
      <w:sz w:val="20"/>
      <w:szCs w:val="20"/>
    </w:rPr>
  </w:style>
  <w:style w:type="paragraph" w:styleId="Textodenotaderodap">
    <w:name w:val="footnote text"/>
    <w:basedOn w:val="Normal"/>
    <w:link w:val="TextodenotaderodapChar"/>
    <w:unhideWhenUsed/>
    <w:qFormat/>
    <w:rsid w:val="003A42D0"/>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3A42D0"/>
    <w:rPr>
      <w:sz w:val="20"/>
      <w:szCs w:val="20"/>
    </w:rPr>
  </w:style>
  <w:style w:type="character" w:styleId="Refdenotaderodap">
    <w:name w:val="footnote reference"/>
    <w:basedOn w:val="Fontepargpadro"/>
    <w:uiPriority w:val="99"/>
    <w:semiHidden/>
    <w:unhideWhenUsed/>
    <w:rsid w:val="003A42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led@uft.edu.b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nilsousa@mail.uft.edu.br"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lexandra.ribeiro@mail.uft.edu.br"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11C06-2ED0-4B39-8B3F-2BCEA8EEA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1114</Words>
  <Characters>6897</Characters>
  <Application>Microsoft Office Word</Application>
  <DocSecurity>0</DocSecurity>
  <Lines>146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Nilcelio Sacramento de Sousa</dc:creator>
  <cp:lastModifiedBy>Nil SS</cp:lastModifiedBy>
  <cp:revision>6</cp:revision>
  <dcterms:created xsi:type="dcterms:W3CDTF">2026-08-06T00:22:00Z</dcterms:created>
  <dcterms:modified xsi:type="dcterms:W3CDTF">2026-08-06T23:53:00Z</dcterms:modified>
</cp:coreProperties>
</file>