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default" w:ascii="Arial" w:hAnsi="Arial" w:cs="Arial"/>
          <w:b/>
          <w:bCs/>
          <w:sz w:val="24"/>
          <w:szCs w:val="24"/>
          <w:rtl w:val="0"/>
          <w:lang w:val="pt-BR"/>
        </w:rPr>
      </w:pPr>
      <w:r>
        <w:rPr>
          <w:rFonts w:hint="default" w:cs="Arial"/>
          <w:b/>
          <w:bCs/>
          <w:sz w:val="24"/>
          <w:szCs w:val="24"/>
          <w:rtl w:val="0"/>
          <w:lang w:val="pt-BR"/>
        </w:rPr>
        <w:t>NARRATIVAS AUTOBIOGRÁFICAS DE ESTUDANTES INDÍGENAS, QUILOMBOLAS E DE COMUNIDADES TRADICIONAIS</w:t>
      </w:r>
    </w:p>
    <w:p w14:paraId="00000004">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b/>
          <w:bCs/>
          <w:sz w:val="24"/>
          <w:szCs w:val="24"/>
        </w:rPr>
      </w:pPr>
    </w:p>
    <w:p w14:paraId="000000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
          <w:bCs/>
          <w:sz w:val="24"/>
          <w:szCs w:val="24"/>
          <w:lang w:val="pt-BR"/>
        </w:rPr>
      </w:pPr>
      <w:r>
        <w:rPr>
          <w:rFonts w:hint="default"/>
          <w:b/>
          <w:bCs/>
          <w:sz w:val="24"/>
          <w:szCs w:val="24"/>
          <w:lang w:val="pt-BR"/>
        </w:rPr>
        <w:t>Ancestralidade feminina e pertencimento: memórias de uma escrevivência afro-indígena na fronteira entre Brasil e Paraguai</w:t>
      </w:r>
    </w:p>
    <w:p w14:paraId="1D555905">
      <w:pPr>
        <w:keepNext w:val="0"/>
        <w:keepLines/>
        <w:pageBreakBefore w:val="0"/>
        <w:widowControl w:val="0"/>
        <w:kinsoku/>
        <w:wordWrap/>
        <w:overflowPunct/>
        <w:topLinePunct w:val="0"/>
        <w:autoSpaceDE/>
        <w:autoSpaceDN/>
        <w:bidi w:val="0"/>
        <w:adjustRightInd/>
        <w:snapToGrid/>
        <w:spacing w:line="360" w:lineRule="auto"/>
        <w:jc w:val="right"/>
        <w:textAlignment w:val="auto"/>
        <w:rPr>
          <w:rFonts w:hint="default" w:ascii="SimSun" w:hAnsi="SimSun" w:eastAsia="SimSun" w:cs="SimSun"/>
          <w:sz w:val="24"/>
          <w:szCs w:val="24"/>
        </w:rPr>
      </w:pPr>
    </w:p>
    <w:p w14:paraId="4E025FBE">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cs="Arial"/>
          <w:sz w:val="24"/>
          <w:szCs w:val="24"/>
          <w:lang w:val="pt-BR"/>
        </w:rPr>
        <w:t>Vitheli de Oliveira Ocampos 1</w:t>
      </w:r>
      <w:r>
        <w:rPr>
          <w:rFonts w:hint="default" w:ascii="Arial" w:hAnsi="Arial" w:cs="Arial"/>
          <w:sz w:val="24"/>
          <w:szCs w:val="24"/>
          <w:lang w:val="pt-BR"/>
        </w:rPr>
        <w:t xml:space="preserve">,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ascii="Arial" w:hAnsi="Arial" w:cs="Arial"/>
          <w:sz w:val="24"/>
          <w:szCs w:val="24"/>
          <w:lang w:val="pt-BR"/>
        </w:rPr>
        <w:t>, e</w:t>
      </w:r>
      <w:r>
        <w:rPr>
          <w:rFonts w:hint="default" w:ascii="Arial" w:hAnsi="Arial" w:cs="Arial"/>
          <w:sz w:val="24"/>
          <w:szCs w:val="24"/>
        </w:rPr>
        <w:t xml:space="preserve">-mail: </w:t>
      </w:r>
      <w:r>
        <w:rPr>
          <w:rFonts w:hint="default" w:cs="Arial"/>
          <w:sz w:val="24"/>
          <w:szCs w:val="24"/>
          <w:lang w:val="pt-BR"/>
        </w:rPr>
        <w:t>vithely@hotmail.com</w:t>
      </w:r>
      <w:r>
        <w:rPr>
          <w:rFonts w:hint="default" w:ascii="Arial" w:hAnsi="Arial" w:cs="Arial"/>
          <w:sz w:val="24"/>
          <w:szCs w:val="24"/>
          <w:lang w:val="pt-BR"/>
        </w:rPr>
        <w:t>;</w:t>
      </w:r>
    </w:p>
    <w:p w14:paraId="54ACB524">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ascii="Arial" w:hAnsi="Arial" w:cs="Arial"/>
          <w:sz w:val="24"/>
          <w:szCs w:val="24"/>
          <w:lang w:val="pt-BR"/>
        </w:rPr>
        <w:t xml:space="preserve"> </w:t>
      </w:r>
      <w:r>
        <w:rPr>
          <w:rFonts w:hint="default" w:cs="Arial"/>
          <w:sz w:val="24"/>
          <w:szCs w:val="24"/>
          <w:lang w:val="pt-BR"/>
        </w:rPr>
        <w:t xml:space="preserve">Adma Cristhina Salles de Oliveira </w:t>
      </w:r>
      <w:r>
        <w:rPr>
          <w:rFonts w:hint="default" w:ascii="Arial" w:hAnsi="Arial" w:cs="Arial"/>
          <w:sz w:val="24"/>
          <w:szCs w:val="24"/>
          <w:lang w:val="pt-BR"/>
        </w:rPr>
        <w:t xml:space="preserve">2, </w:t>
      </w:r>
      <w:r>
        <w:rPr>
          <w:rFonts w:hint="default" w:ascii="Arial" w:hAnsi="Arial" w:cs="Arial"/>
          <w:sz w:val="24"/>
          <w:szCs w:val="24"/>
        </w:rPr>
        <w:t xml:space="preserve">Universidade </w:t>
      </w:r>
      <w:r>
        <w:rPr>
          <w:rFonts w:hint="default" w:cs="Arial"/>
          <w:sz w:val="24"/>
          <w:szCs w:val="24"/>
          <w:lang w:val="pt-BR"/>
        </w:rPr>
        <w:t>Estadual de Mato Grosso do Sul</w:t>
      </w:r>
      <w:r>
        <w:rPr>
          <w:rFonts w:hint="default" w:ascii="Arial" w:hAnsi="Arial" w:cs="Arial"/>
          <w:sz w:val="24"/>
          <w:szCs w:val="24"/>
          <w:lang w:val="pt-BR"/>
        </w:rPr>
        <w:t xml:space="preserve"> </w:t>
      </w:r>
      <w:r>
        <w:rPr>
          <w:rFonts w:hint="default" w:ascii="Arial" w:hAnsi="Arial" w:cs="Arial"/>
          <w:sz w:val="24"/>
          <w:szCs w:val="24"/>
        </w:rPr>
        <w:t>(</w:t>
      </w:r>
      <w:r>
        <w:rPr>
          <w:rFonts w:hint="default" w:cs="Arial"/>
          <w:sz w:val="24"/>
          <w:szCs w:val="24"/>
          <w:lang w:val="pt-BR"/>
        </w:rPr>
        <w:t>UEMS</w:t>
      </w:r>
      <w:r>
        <w:rPr>
          <w:rFonts w:hint="default" w:ascii="Arial" w:hAnsi="Arial" w:cs="Arial"/>
          <w:sz w:val="24"/>
          <w:szCs w:val="24"/>
        </w:rPr>
        <w:t>)</w:t>
      </w:r>
      <w:r>
        <w:rPr>
          <w:rFonts w:hint="default" w:ascii="Arial" w:hAnsi="Arial" w:cs="Arial"/>
          <w:sz w:val="24"/>
          <w:szCs w:val="24"/>
          <w:lang w:val="pt-BR"/>
        </w:rPr>
        <w:t>, e</w:t>
      </w:r>
      <w:r>
        <w:rPr>
          <w:rFonts w:hint="default" w:ascii="Arial" w:hAnsi="Arial" w:cs="Arial"/>
          <w:sz w:val="24"/>
          <w:szCs w:val="24"/>
        </w:rPr>
        <w:t>-mai</w:t>
      </w:r>
      <w:r>
        <w:rPr>
          <w:rFonts w:hint="default" w:ascii="Arial" w:hAnsi="Arial" w:cs="Arial"/>
          <w:sz w:val="24"/>
          <w:szCs w:val="24"/>
          <w:lang w:val="pt-BR"/>
        </w:rPr>
        <w:t>l:</w:t>
      </w:r>
      <w:r>
        <w:rPr>
          <w:rFonts w:hint="default" w:ascii="Arial" w:hAnsi="Arial" w:cs="Arial"/>
          <w:sz w:val="24"/>
          <w:szCs w:val="24"/>
        </w:rPr>
        <w:t xml:space="preserve"> </w:t>
      </w:r>
      <w:r>
        <w:rPr>
          <w:rFonts w:hint="default" w:cs="Arial"/>
          <w:sz w:val="24"/>
          <w:szCs w:val="24"/>
          <w:lang w:val="pt-BR"/>
        </w:rPr>
        <w:t>adma@uems.br</w:t>
      </w:r>
      <w:r>
        <w:rPr>
          <w:rFonts w:hint="default" w:ascii="Arial" w:hAnsi="Arial" w:cs="Arial"/>
          <w:sz w:val="24"/>
          <w:szCs w:val="24"/>
          <w:lang w:val="pt-BR"/>
        </w:rPr>
        <w:t>;</w:t>
      </w:r>
    </w:p>
    <w:p w14:paraId="0000000D">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cs="Arial"/>
          <w:sz w:val="24"/>
          <w:szCs w:val="24"/>
          <w:lang w:val="pt-BR"/>
        </w:rPr>
        <w:t>Cláudia Carlos Silva</w:t>
      </w:r>
      <w:r>
        <w:rPr>
          <w:rFonts w:hint="default" w:ascii="Arial" w:hAnsi="Arial" w:cs="Arial"/>
          <w:sz w:val="24"/>
          <w:szCs w:val="24"/>
          <w:lang w:val="pt-BR"/>
        </w:rPr>
        <w:t xml:space="preserve"> 3,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cs="Arial"/>
          <w:sz w:val="24"/>
          <w:szCs w:val="24"/>
          <w:lang w:val="pt-BR"/>
        </w:rPr>
        <w:t>, e</w:t>
      </w:r>
      <w:r>
        <w:rPr>
          <w:rFonts w:hint="default" w:ascii="Arial" w:hAnsi="Arial" w:cs="Arial"/>
          <w:sz w:val="24"/>
          <w:szCs w:val="24"/>
        </w:rPr>
        <w:t>-mail</w:t>
      </w:r>
      <w:r>
        <w:rPr>
          <w:rFonts w:hint="default" w:cs="Arial"/>
          <w:sz w:val="24"/>
          <w:szCs w:val="24"/>
          <w:lang w:val="pt-BR"/>
        </w:rPr>
        <w:t>: claudiacarlossilva30@gmail.com</w:t>
      </w:r>
    </w:p>
    <w:p w14:paraId="0000000E">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24"/>
          <w:szCs w:val="24"/>
        </w:rPr>
      </w:pPr>
    </w:p>
    <w:p w14:paraId="000000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RESUMO</w:t>
      </w:r>
    </w:p>
    <w:p w14:paraId="7C3914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4"/>
          <w:szCs w:val="24"/>
          <w:rtl w:val="0"/>
        </w:rPr>
      </w:pPr>
    </w:p>
    <w:p w14:paraId="0D8728E9">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Este trabalho nasce das memórias transmitidas entre gerações de mulheres da minha família, preservadas pela oralidade muito antes de chegarem à escrita. Ao narrar a história da minha bisavó paraguaia-guarani, nascida durante a Guerra da Tríplice Aliança, reflito sobre como a ancestralidade feminina e a memória contribuíram para a construção da minha identidade afro-indígena e do meu sentimento de pertencimento. Mais do que registrar uma lembrança familiar, esta escrevivência busca preservar uma história que atravessou gerações até chegar a mim.</w:t>
      </w:r>
    </w:p>
    <w:p w14:paraId="4FACFB3C">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Minha bisavó nasceu em meio a uma fuga durante a Guerra da Tríplice Aliança. Sua mãe estava grávida quando precisou deixar sua terra com a família, tentando escapar de uma guerra que já avançava sobre aquele território. Chovia muito durante o caminho. Havia medo, lama, cansaço e a incerteza de não saber o que encontrariam pela frente. Sem uma casa onde pudesse se proteger, sua mãe encontrou em uma carroça improvisada o único abrigo possível. Foi debaixo daquela carroça, em plena fuga, que entrou em trabalho de parto e deu à luz a minha bisavó.</w:t>
      </w:r>
    </w:p>
    <w:p w14:paraId="0D2FAC9E">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Depois do parto, sua mãe começou a sangrar muito. Teve uma hemorragia intensa e morreu ali mesmo, pouco depois de colocar a filha no mundo. Minha bisavó acabava de nascer enquanto sua mãe perdia a própria vida. Em meio à guerra, à chuva e à fuga, ficou uma criança recém-nascida chorando de fome.</w:t>
      </w:r>
    </w:p>
    <w:p w14:paraId="134C7EFC">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A irmã de sua mãe estava junto da família e ouviu aquele choro. Ela não tinha filhos e nunca havia amamentado. Sem saber como alimentar aquela criança, tomou a bebê nos braços e, em meio ao desespero, colocou-a junto ao próprio peito. Foi então que aconteceu aquilo que minha família nunca deixou essa história esquecer: seu seio começou a produzir leite. Uma mulher havia acabado de perder o sangue e a vida ao dar à luz; outra, que nunca tinha sido mãe, oferecia do próprio corpo o alimento que manteria aquela criança viva. Foi essa tia quem criou minha bisavó e se tornou sua mãe.</w:t>
      </w:r>
    </w:p>
    <w:p w14:paraId="6ABE81D0">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Para minha família, aquele leite que surgiu quando uma criança precisava sobreviver nunca foi contado apenas como um acontecimento do corpo. Havia algo de sagrado naquela memória, como se, em meio aos horrores da guerra, a vida tivesse encontrado outra mulher por onde continuar. Foi assim que essa história chegou até mim: contada de mãe para filha, de avó para neta e de bisavó para bisneta.</w:t>
      </w:r>
    </w:p>
    <w:p w14:paraId="3C6B4682">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O nascimento da minha bisavó também está ligado às profundas marcas deixadas pela Guerra da Tríplice Aliança na sociedade paraguaia. A enorme perda de vidas atingiu de maneira especialmente grave a população masculina. Homens e meninos morreram na guerra, enquanto muitas mulheres permaneceram diante da responsabilidade de sustentar suas famílias e participar da reconstrução de um país devastado. As consequências não terminaram com a guerra; permaneceram nas famílias e nas memórias das gerações seguintes.</w:t>
      </w:r>
    </w:p>
    <w:p w14:paraId="26240D6E">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 xml:space="preserve">Nesse contexto, olhar para as mulheres significa perceber uma dimensão da história que muitas vezes permanece escondida atrás das narrativas sobre batalhas, governos e exércitos. Enquanto a guerra registrava seus mortos, muitas mulheres precisavam manter vivos os que permaneceram, reorganizar famílias, criar crianças e reconstruir a vida cotidiana. Na memória da minha família, uma dessas marcas aparece na importância atribuída ao nascimento dos homens, chamados de </w:t>
      </w:r>
      <w:r>
        <w:rPr>
          <w:i/>
          <w:iCs/>
          <w:sz w:val="24"/>
          <w:szCs w:val="24"/>
        </w:rPr>
        <w:t>varones</w:t>
      </w:r>
      <w:r>
        <w:rPr>
          <w:sz w:val="24"/>
          <w:szCs w:val="24"/>
        </w:rPr>
        <w:t>.</w:t>
      </w:r>
      <w:r>
        <w:rPr>
          <w:rFonts w:hint="default"/>
          <w:sz w:val="24"/>
          <w:szCs w:val="24"/>
          <w:lang w:val="pt-BR"/>
        </w:rPr>
        <w:t xml:space="preserve"> </w:t>
      </w:r>
      <w:r>
        <w:rPr>
          <w:sz w:val="24"/>
          <w:szCs w:val="24"/>
        </w:rPr>
        <w:t>O nascimento de um menino era recebido como uma bênção, memória familiar relacionada às perdas masculinas da guerra. Nesse cenário, as mulheres garantiram a continuidade da vida e da memória: minha bisavó perdeu a mãe ao nascer, foi acolhida e criada por outra mulher, e sua história continuou sendo transmitida entre gerações pela oralidade. A ancestralidade feminina desta narrativa está na preservação da memória, do pertencimento e da continuidade familiar. Essa experiência dialoga com Lélia Gonzalez (2020), ao valorizar as trajetórias de mulheres negras e latino-americanas e propor a Amefricanidade como forma de compreender nossas experiências para além das referências europeias. Assim, ancestralidade, raça e gênero se encontram nas histórias de mulheres que sustentaram famílias, culturas e memórias.</w:t>
      </w:r>
    </w:p>
    <w:p w14:paraId="5A69A182">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As feridas da guerra também atravessaram a relação entre Paraguai e Brasil dentro da minha família. Minha mãe era brasileira e não foi bem recebida pela família paraguaia. Não posso afirmar exatamente o que minha bisavó sentia nem explicar todos os motivos dessa resistência, mas sei, pelas histórias que chegaram até mim, que a origem brasileira de minha mãe constituía uma barreira.</w:t>
      </w:r>
    </w:p>
    <w:p w14:paraId="3EDBF7FC">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 xml:space="preserve">Então eu nasci. Era a segunda filha mulher, não o </w:t>
      </w:r>
      <w:r>
        <w:rPr>
          <w:i/>
          <w:iCs/>
          <w:sz w:val="24"/>
          <w:szCs w:val="24"/>
        </w:rPr>
        <w:t>varón</w:t>
      </w:r>
      <w:r>
        <w:rPr>
          <w:sz w:val="24"/>
          <w:szCs w:val="24"/>
        </w:rPr>
        <w:t xml:space="preserve"> cuja chegada costumava ser tão celebrada. Ainda assim, foi justamente por meio de outra mulher que essa barreira começou a desaparecer. Minha bisavó dizia que eu havia nascido com o rosto de sua mãe</w:t>
      </w:r>
      <w:r>
        <w:rPr>
          <w:rFonts w:hint="default"/>
          <w:sz w:val="24"/>
          <w:szCs w:val="24"/>
          <w:lang w:val="pt-BR"/>
        </w:rPr>
        <w:t xml:space="preserve">, </w:t>
      </w:r>
      <w:r>
        <w:rPr>
          <w:sz w:val="24"/>
          <w:szCs w:val="24"/>
        </w:rPr>
        <w:t>não daquela que morreu ao lhe dar à luz, mas da tia que a tomou nos braços, a amamentou e a criou. A semelhança que ela reconhecia entre nós fez com que a origem brasileira que eu também carregava deixasse de impedir nosso vínculo.</w:t>
      </w:r>
    </w:p>
    <w:p w14:paraId="5AE78D28">
      <w:pPr>
        <w:spacing w:line="360" w:lineRule="auto"/>
        <w:jc w:val="both"/>
        <w:rPr>
          <w:sz w:val="24"/>
          <w:szCs w:val="24"/>
        </w:rPr>
      </w:pPr>
      <w:r>
        <w:rPr>
          <w:sz w:val="24"/>
          <w:szCs w:val="24"/>
        </w:rPr>
        <w:t>Quando criança, minha bisavó trançava meus cabelos e aprendeu português para conversar comigo nas férias. Hoje compreendo esses gestos como um pertencimento construído não apenas pelo sangue, mas pelo reconhecimento entre mulheres. Essa memória aproxima-se da escrevivência de Conceição Evaristo (2007), em que experiência, memória e escrita se encontram.</w:t>
      </w:r>
      <w:r>
        <w:rPr>
          <w:rFonts w:hint="default"/>
          <w:sz w:val="24"/>
          <w:szCs w:val="24"/>
          <w:lang w:val="pt-BR"/>
        </w:rPr>
        <w:t xml:space="preserve"> </w:t>
      </w:r>
      <w:r>
        <w:rPr>
          <w:sz w:val="24"/>
          <w:szCs w:val="24"/>
        </w:rPr>
        <w:t>Registrar essas narrativas preservadas pela oralidade é também impedir que desapareçam com as vozes que as transmitiram.</w:t>
      </w:r>
    </w:p>
    <w:p w14:paraId="161A87C4">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Minha identidade afro-indígena nasce dessa travessia entre a ancestralidade paraguaia-guarani de meu pai e a negra de minha mãe. Compreendo, assim, que ancestralidade ultrapassa o sangue: constrói-se também pelas memórias, afetos, histórias preservadas e pelo sentimento de pertencimento.</w:t>
      </w:r>
    </w:p>
    <w:p w14:paraId="7FA781F0">
      <w:pPr>
        <w:spacing w:line="360" w:lineRule="auto"/>
        <w:jc w:val="both"/>
        <w:rPr>
          <w:sz w:val="24"/>
          <w:szCs w:val="24"/>
        </w:rPr>
      </w:pPr>
      <w:r>
        <w:rPr>
          <w:sz w:val="24"/>
          <w:szCs w:val="24"/>
        </w:rPr>
        <w:t>Assim, a história de minha bisavó ultrapassa a lembrança familiar e revela uma continuidade construída entre mulheres: uma deu à luz, outra alimentou e criou, outras preservaram a narrativa e, hoje, outra a escreve. Nesta trajetória, foram elas que impediram que a vida e a memória fossem interrompidas.</w:t>
      </w:r>
    </w:p>
    <w:p w14:paraId="4EABAEF3">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Escrever esta história é ocupar temporariamente o lugar que outras mulheres da família ocuparam antes de mim. Elas preservaram a memória pela oralidade</w:t>
      </w:r>
      <w:r>
        <w:rPr>
          <w:rFonts w:hint="default"/>
          <w:sz w:val="24"/>
          <w:szCs w:val="24"/>
          <w:lang w:val="pt-BR"/>
        </w:rPr>
        <w:t xml:space="preserve">, </w:t>
      </w:r>
      <w:r>
        <w:rPr>
          <w:sz w:val="24"/>
          <w:szCs w:val="24"/>
        </w:rPr>
        <w:t>agora ela encontra também a escrita. Talvez esteja justamente aí a maior força desta ancestralidade feminina: aquilo que uma guerra tentou separar atravessou gerações e encontrou outras formas de continuar. Entre Paraguai e Brasil, entre ancestralidade negra e guarani, entre mulheres que partiram e mulheres que permaneceram, o pertencimento deixou de ser apenas uma questão de sangue e tornou-se também memória, reconhecimento e continuidade.</w:t>
      </w:r>
    </w:p>
    <w:p w14:paraId="49D20C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tl w:val="0"/>
        </w:rPr>
      </w:pPr>
    </w:p>
    <w:p w14:paraId="6D6687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tl w:val="0"/>
        </w:rPr>
      </w:pPr>
    </w:p>
    <w:p w14:paraId="000000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cs="Arial"/>
          <w:b/>
          <w:bCs/>
          <w:sz w:val="24"/>
          <w:szCs w:val="24"/>
          <w:rtl w:val="0"/>
          <w:lang w:val="pt-BR"/>
        </w:rPr>
      </w:pPr>
      <w:r>
        <w:rPr>
          <w:rFonts w:hint="default" w:ascii="Arial" w:hAnsi="Arial" w:cs="Arial"/>
          <w:b/>
          <w:bCs/>
          <w:sz w:val="24"/>
          <w:szCs w:val="24"/>
          <w:rtl w:val="0"/>
        </w:rPr>
        <w:t>PALAVRAS-CHAVE</w:t>
      </w:r>
      <w:r>
        <w:rPr>
          <w:rFonts w:hint="default" w:ascii="Arial" w:hAnsi="Arial" w:cs="Arial"/>
          <w:b/>
          <w:bCs/>
          <w:sz w:val="24"/>
          <w:szCs w:val="24"/>
          <w:rtl w:val="0"/>
          <w:lang w:val="pt-BR"/>
        </w:rPr>
        <w:t>:</w:t>
      </w:r>
      <w:r>
        <w:rPr>
          <w:rFonts w:hint="default" w:cs="Arial"/>
          <w:b/>
          <w:bCs/>
          <w:sz w:val="24"/>
          <w:szCs w:val="24"/>
          <w:rtl w:val="0"/>
          <w:lang w:val="pt-BR"/>
        </w:rPr>
        <w:t xml:space="preserve"> </w:t>
      </w:r>
      <w:r>
        <w:rPr>
          <w:sz w:val="24"/>
          <w:szCs w:val="24"/>
        </w:rPr>
        <w:t>ancestralidade feminina; escrevivência; identidade afro-indígena; pertencimento; fronteira.</w:t>
      </w:r>
      <w:r>
        <w:rPr>
          <w:rFonts w:hint="default"/>
          <w:sz w:val="24"/>
          <w:szCs w:val="24"/>
          <w:rtl w:val="0"/>
          <w:lang w:val="pt-BR"/>
        </w:rPr>
        <w:t>.</w:t>
      </w:r>
    </w:p>
    <w:p w14:paraId="095B7D4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cs="Arial"/>
          <w:b/>
          <w:bCs/>
          <w:sz w:val="24"/>
          <w:szCs w:val="24"/>
          <w:rtl w:val="0"/>
          <w:lang w:val="pt-BR"/>
        </w:rPr>
      </w:pPr>
    </w:p>
    <w:p w14:paraId="000000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 xml:space="preserve">REFERÊNCIAS </w:t>
      </w:r>
    </w:p>
    <w:p w14:paraId="53B991A7">
      <w:pPr>
        <w:spacing w:line="360" w:lineRule="auto"/>
        <w:jc w:val="both"/>
        <w:rPr>
          <w:rFonts w:hint="default"/>
          <w:sz w:val="24"/>
          <w:szCs w:val="24"/>
          <w:rtl w:val="0"/>
        </w:rPr>
      </w:pPr>
    </w:p>
    <w:p w14:paraId="2FF4053C">
      <w:pPr>
        <w:spacing w:line="360" w:lineRule="auto"/>
        <w:jc w:val="both"/>
        <w:rPr>
          <w:sz w:val="24"/>
          <w:szCs w:val="24"/>
        </w:rPr>
      </w:pPr>
      <w:r>
        <w:rPr>
          <w:sz w:val="24"/>
          <w:szCs w:val="24"/>
        </w:rPr>
        <w:t xml:space="preserve">DORATIOTO, Francisco. </w:t>
      </w:r>
      <w:r>
        <w:rPr>
          <w:b/>
          <w:bCs/>
          <w:i w:val="0"/>
          <w:iCs w:val="0"/>
          <w:sz w:val="24"/>
          <w:szCs w:val="24"/>
        </w:rPr>
        <w:t>Maldita guerra: nova história da Guerra do Paraguai.</w:t>
      </w:r>
      <w:r>
        <w:rPr>
          <w:sz w:val="24"/>
          <w:szCs w:val="24"/>
        </w:rPr>
        <w:t xml:space="preserve"> Nova ed. São Paulo: Companhia das Letras, 2022.</w:t>
      </w:r>
    </w:p>
    <w:p w14:paraId="7DC96607">
      <w:pPr>
        <w:spacing w:line="360" w:lineRule="auto"/>
        <w:jc w:val="both"/>
        <w:rPr>
          <w:sz w:val="24"/>
          <w:szCs w:val="24"/>
        </w:rPr>
      </w:pPr>
    </w:p>
    <w:p w14:paraId="77EFA901">
      <w:pPr>
        <w:spacing w:line="360" w:lineRule="auto"/>
        <w:jc w:val="both"/>
        <w:rPr>
          <w:sz w:val="24"/>
          <w:szCs w:val="24"/>
        </w:rPr>
      </w:pPr>
      <w:r>
        <w:rPr>
          <w:sz w:val="24"/>
          <w:szCs w:val="24"/>
        </w:rPr>
        <w:t xml:space="preserve">EVARISTO, Conceição. Da grafia-desenho de minha mãe, um dos lugares de nascimento de minha escrita. In: ALEXANDRE, Marcos Antônio (org.). </w:t>
      </w:r>
      <w:r>
        <w:rPr>
          <w:b/>
          <w:bCs/>
          <w:sz w:val="24"/>
          <w:szCs w:val="24"/>
        </w:rPr>
        <w:t>Representações performáticas brasileiras: teorias, práticas e suas interfaces</w:t>
      </w:r>
      <w:r>
        <w:rPr>
          <w:b w:val="0"/>
          <w:bCs w:val="0"/>
          <w:sz w:val="24"/>
          <w:szCs w:val="24"/>
        </w:rPr>
        <w:t>.</w:t>
      </w:r>
      <w:r>
        <w:rPr>
          <w:sz w:val="24"/>
          <w:szCs w:val="24"/>
        </w:rPr>
        <w:t xml:space="preserve"> Belo Horizonte: Mazza Edições, 2007.</w:t>
      </w:r>
    </w:p>
    <w:p w14:paraId="269B662C">
      <w:pPr>
        <w:spacing w:line="360" w:lineRule="auto"/>
        <w:jc w:val="both"/>
        <w:rPr>
          <w:sz w:val="24"/>
          <w:szCs w:val="24"/>
        </w:rPr>
      </w:pPr>
    </w:p>
    <w:p w14:paraId="4AC3D4C2">
      <w:pPr>
        <w:spacing w:line="360" w:lineRule="auto"/>
        <w:jc w:val="both"/>
        <w:rPr>
          <w:sz w:val="24"/>
          <w:szCs w:val="24"/>
        </w:rPr>
      </w:pPr>
      <w:r>
        <w:rPr>
          <w:sz w:val="24"/>
          <w:szCs w:val="24"/>
        </w:rPr>
        <w:t xml:space="preserve">GONZALEZ, Lélia. </w:t>
      </w:r>
      <w:r>
        <w:rPr>
          <w:b/>
          <w:bCs/>
          <w:sz w:val="24"/>
          <w:szCs w:val="24"/>
        </w:rPr>
        <w:t>Por um feminismo afro-latino-americano: ensaios, intervenções e diálogos</w:t>
      </w:r>
      <w:r>
        <w:rPr>
          <w:sz w:val="24"/>
          <w:szCs w:val="24"/>
        </w:rPr>
        <w:t>. Organização de Flavia Rios e Márcia Lima. Rio de Janeiro: Zahar, 2020.</w:t>
      </w:r>
    </w:p>
    <w:p w14:paraId="0000002F">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bookmarkStart w:id="0" w:name="_GoBack"/>
      <w:bookmarkEnd w:id="0"/>
    </w:p>
    <w:sectPr>
      <w:headerReference r:id="rId6" w:type="first"/>
      <w:footerReference r:id="rId8" w:type="first"/>
      <w:headerReference r:id="rId5" w:type="default"/>
      <w:footerReference r:id="rId7" w:type="default"/>
      <w:pgSz w:w="11909" w:h="16834"/>
      <w:pgMar w:top="1140" w:right="1138" w:bottom="1140" w:left="1138" w:header="720" w:footer="720" w:gutter="0"/>
      <w:paperSrc/>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FFCED41-752C-4C0C-A07E-6001D534D835}"/>
  </w:font>
  <w:font w:name="Arial">
    <w:panose1 w:val="020B0604020202020204"/>
    <w:charset w:val="00"/>
    <w:family w:val="swiss"/>
    <w:pitch w:val="default"/>
    <w:sig w:usb0="E0002EFF" w:usb1="C000785B" w:usb2="00000009" w:usb3="00000000" w:csb0="400001FF" w:csb1="FFFF0000"/>
    <w:embedRegular r:id="rId2" w:fontKey="{C88B5236-C953-4316-9129-C09618106A87}"/>
  </w:font>
  <w:font w:name="Courier New">
    <w:panose1 w:val="02070309020205020404"/>
    <w:charset w:val="00"/>
    <w:family w:val="modern"/>
    <w:pitch w:val="default"/>
    <w:sig w:usb0="E0002EFF" w:usb1="C0007843" w:usb2="00000009" w:usb3="00000000" w:csb0="400001FF" w:csb1="FFFF0000"/>
    <w:embedRegular r:id="rId3" w:fontKey="{D5531DC8-4163-4AE2-A4DA-A0EDEAA3F744}"/>
  </w:font>
  <w:font w:name="Symbol">
    <w:panose1 w:val="05050102010706020507"/>
    <w:charset w:val="02"/>
    <w:family w:val="roman"/>
    <w:pitch w:val="default"/>
    <w:sig w:usb0="00000000" w:usb1="00000000" w:usb2="00000000" w:usb3="00000000" w:csb0="80000000" w:csb1="00000000"/>
    <w:embedRegular r:id="rId4" w:fontKey="{7C8DEA8D-C264-4617-8F69-31EEB3BE0415}"/>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embedRegular r:id="rId5" w:fontKey="{0EF7F11C-87D6-4030-AC64-723277D61EFF}"/>
  </w:font>
  <w:font w:name="Arial">
    <w:panose1 w:val="020B0604020202020204"/>
    <w:charset w:val="86"/>
    <w:family w:val="swiss"/>
    <w:pitch w:val="default"/>
    <w:sig w:usb0="E0002EFF" w:usb1="C000785B" w:usb2="00000009" w:usb3="00000000" w:csb0="400001FF" w:csb1="FFFF0000"/>
    <w:embedRegular r:id="rId6" w:fontKey="{5F0162C6-EE03-4818-A368-3476E4AC183C}"/>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6901A24D-CF3A-4D63-90CD-DA8D2DD70A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4">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0">
    <w:pPr>
      <w:jc w:val="right"/>
    </w:pPr>
    <w:r>
      <w:drawing>
        <wp:anchor distT="114300" distB="114300" distL="114300" distR="114300" simplePos="0" relativeHeight="251659264" behindDoc="1" locked="0" layoutInCell="1" allowOverlap="1">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700213" cy="1700213"/>
                  </a:xfrm>
                  <a:prstGeom prst="rect">
                    <a:avLst/>
                  </a:prstGeom>
                </pic:spPr>
              </pic:pic>
            </a:graphicData>
          </a:graphic>
        </wp:anchor>
      </w:drawing>
    </w:r>
    <w:r>
      <w:drawing>
        <wp:anchor distT="114300" distB="114300" distL="114300" distR="114300" simplePos="0" relativeHeight="251659264" behindDoc="1" locked="0" layoutInCell="1" allowOverlap="1">
          <wp:simplePos x="0" y="0"/>
          <wp:positionH relativeFrom="column">
            <wp:posOffset>5791200</wp:posOffset>
          </wp:positionH>
          <wp:positionV relativeFrom="paragraph">
            <wp:posOffset>-304165</wp:posOffset>
          </wp:positionV>
          <wp:extent cx="664845"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2"/>
                  <a:srcRect t="235" b="235"/>
                  <a:stretch>
                    <a:fillRect/>
                  </a:stretch>
                </pic:blipFill>
                <pic:spPr>
                  <a:xfrm>
                    <a:off x="0" y="0"/>
                    <a:ext cx="664882" cy="762000"/>
                  </a:xfrm>
                  <a:prstGeom prst="rect">
                    <a:avLst/>
                  </a:prstGeom>
                </pic:spPr>
              </pic:pic>
            </a:graphicData>
          </a:graphic>
        </wp:anchor>
      </w:drawing>
    </w:r>
  </w:p>
  <w:p w14:paraId="00000031">
    <w:pPr>
      <w:jc w:val="right"/>
    </w:pPr>
  </w:p>
  <w:p w14:paraId="00000032">
    <w:pPr>
      <w:jc w:val="right"/>
    </w:pPr>
  </w:p>
  <w:p w14:paraId="00000033">
    <w:pPr>
      <w:jc w:val="left"/>
    </w:pPr>
    <w:r>
      <w:drawing>
        <wp:anchor distT="114300" distB="114300" distL="114300" distR="114300" simplePos="0" relativeHeight="251659264" behindDoc="1" locked="0" layoutInCell="1" allowOverlap="1">
          <wp:simplePos x="0" y="0"/>
          <wp:positionH relativeFrom="page">
            <wp:posOffset>0</wp:posOffset>
          </wp:positionH>
          <wp:positionV relativeFrom="page">
            <wp:posOffset>-5080</wp:posOffset>
          </wp:positionV>
          <wp:extent cx="416560" cy="1071689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3"/>
                  <a:srcRect/>
                  <a:stretch>
                    <a:fillRect/>
                  </a:stretch>
                </pic:blipFill>
                <pic:spPr>
                  <a:xfrm>
                    <a:off x="0" y="0"/>
                    <a:ext cx="416339" cy="1071657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F04E05"/>
    <w:rsid w:val="24EA3120"/>
    <w:rsid w:val="31AE6DA2"/>
    <w:rsid w:val="34866414"/>
    <w:rsid w:val="78C734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character" w:styleId="11">
    <w:name w:val="Emphasis"/>
    <w:basedOn w:val="8"/>
    <w:qFormat/>
    <w:uiPriority w:val="0"/>
    <w:rPr>
      <w:i/>
      <w:iCs/>
    </w:rPr>
  </w:style>
  <w:style w:type="paragraph" w:styleId="12">
    <w:name w:val="Title"/>
    <w:basedOn w:val="1"/>
    <w:next w:val="1"/>
    <w:qFormat/>
    <w:uiPriority w:val="0"/>
    <w:pPr>
      <w:keepNext/>
      <w:keepLines/>
      <w:pageBreakBefore w:val="0"/>
      <w:spacing w:before="0" w:after="60"/>
    </w:pPr>
    <w:rPr>
      <w:sz w:val="52"/>
      <w:szCs w:val="52"/>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1124</Words>
  <Characters>6483</Characters>
  <TotalTime>308</TotalTime>
  <ScaleCrop>false</ScaleCrop>
  <LinksUpToDate>false</LinksUpToDate>
  <CharactersWithSpaces>7590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2026-08-05T17:59:00Z</dcterms:created>
  <dc:creator>User</dc:creator>
  <cp:lastModifiedBy>tcheli de oliveira</cp:lastModifiedBy>
  <dcterms:modified xsi:type="dcterms:W3CDTF">2026-08-12T23:13:01Z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eyJoZGlkIjoiZDQ3N2JmMzNkNzZiYjIzMDE0OGY4MmE3YmQzMDlhYjMiLCJ1c2VySWQiOiIxMjU0NTcwOTA0NzUyIn0=</vt:lpwstr>
  </property>
  <property fmtid="{D5CDD505-2E9C-101B-9397-08002B2CF9AE}" pid="3" name="KSOProductBuildVer">
    <vt:lpwstr>1046-12.1.0.28032</vt:lpwstr>
  </property>
  <property fmtid="{D5CDD505-2E9C-101B-9397-08002B2CF9AE}" pid="4" name="ICV">
    <vt:lpwstr>199A7FB7FF2A499495A86013A7B64AC5_13</vt:lpwstr>
  </property>
</Properties>
</file>