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before="0" w:after="0"/>
        <w:jc w:val="center"/>
        <w:rPr>
          <w:b w:val="1"/>
          <w:bCs w:val="1"/>
          <w:sz w:val="24"/>
          <w:szCs w:val="24"/>
        </w:rPr>
      </w:pPr>
      <w:r w:rsidDel="00000000" w:rsidR="00000000" w:rsidRPr="00000000">
        <w:rPr>
          <w:rFonts w:ascii="Arial" w:hAnsi="Arial"/>
          <w:b/>
          <w:bCs w:val="1"/>
          <w:sz w:val="24"/>
          <w:szCs w:val="24"/>
          <w:rtl w:val="0"/>
        </w:rPr>
        <w:t>NARRATIVAS AUTOBIOGRÁFICAS DE ESTUDANTES INDÍGENAS, QUILOMBOLAS E DE COMUNIDADES TRADICIONAIS</w:t>
      </w:r>
    </w:p>
    <w:p w:rsidR="00000000" w:rsidDel="00000000" w:rsidP="00000000" w:rsidRDefault="00000000" w:rsidRPr="00000000" w14:paraId="00000002">
      <w:pPr>
        <w:keepLines w:val="1"/>
        <w:widowControl w:val="0"/>
        <w:spacing w:line="240" w:lineRule="auto" w:before="0" w:after="0"/>
        <w:jc w:val="center"/>
        <w:rPr>
          <w:sz w:val="24"/>
          <w:szCs w:val="24"/>
        </w:rPr>
      </w:pPr>
      <w:r w:rsidDel="00000000" w:rsidR="00000000" w:rsidRPr="00000000">
        <w:rPr>
          <w:sz w:val="24"/>
          <w:szCs w:val="24"/>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keepLines w:val="1"/>
        <w:widowControl w:val="0"/>
        <w:spacing w:line="240" w:lineRule="auto" w:before="0" w:after="0"/>
        <w:jc w:val="center"/>
        <w:rPr>
          <w:b w:val="1"/>
          <w:bCs w:val="1"/>
          <w:sz w:val="24"/>
          <w:szCs w:val="24"/>
        </w:rPr>
      </w:pPr>
      <w:r w:rsidDel="00000000" w:rsidR="00000000" w:rsidRPr="00000000">
        <w:rPr>
          <w:rFonts w:ascii="Arial" w:hAnsi="Arial"/>
          <w:b/>
          <w:bCs w:val="1"/>
          <w:sz w:val="24"/>
          <w:szCs w:val="24"/>
          <w:rtl w:val="0"/>
        </w:rPr>
        <w:t>Entre Rodelas e Ibotirama: contar nossa própria história também é uma forma de resistência</w:t>
      </w:r>
    </w:p>
    <w:p w:rsidR="00000000" w:rsidDel="00000000" w:rsidP="00000000" w:rsidRDefault="00000000" w:rsidRPr="00000000" w14:paraId="00000006">
      <w:pPr>
        <w:keepLines w:val="1"/>
        <w:widowControl w:val="0"/>
        <w:spacing w:line="240" w:lineRule="auto" w:before="0" w:after="0"/>
        <w:jc w:val="center"/>
        <w:rPr>
          <w:sz w:val="24"/>
          <w:szCs w:val="24"/>
        </w:rPr>
      </w:pPr>
      <w:r w:rsidDel="00000000" w:rsidR="00000000" w:rsidRPr="00000000">
        <w:rPr>
          <w:sz w:val="24"/>
          <w:szCs w:val="24"/>
          <w:rtl w:val="0"/>
        </w:rPr>
      </w:r>
    </w:p>
    <w:p w:rsidR="00000000" w:rsidDel="00000000" w:rsidP="00000000" w:rsidRDefault="00000000" w:rsidRPr="00000000" w14:paraId="00000007">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before="0" w:after="0"/>
        <w:jc w:val="right"/>
        <w:rPr>
          <w:sz w:val="24"/>
          <w:szCs w:val="24"/>
        </w:rPr>
      </w:pPr>
      <w:r w:rsidDel="00000000" w:rsidR="00000000" w:rsidRPr="00000000">
        <w:rPr>
          <w:rFonts w:ascii="Arial" w:hAnsi="Arial"/>
          <w:b w:val="0"/>
          <w:sz w:val="24"/>
          <w:szCs w:val="24"/>
          <w:rtl w:val="0"/>
        </w:rPr>
        <w:t>Edineide Barros de Oliveira, Universidade Federal do Oeste da Bahia (UFOB)</w:t>
      </w:r>
    </w:p>
    <w:p w:rsidR="00000000" w:rsidDel="00000000" w:rsidP="00000000" w:rsidRDefault="00000000" w:rsidRPr="00000000" w14:paraId="0000000A">
      <w:pPr>
        <w:keepLines w:val="1"/>
        <w:widowControl w:val="0"/>
        <w:spacing w:line="240" w:lineRule="auto" w:before="0" w:after="0"/>
        <w:jc w:val="right"/>
        <w:rPr>
          <w:sz w:val="24"/>
          <w:szCs w:val="24"/>
        </w:rPr>
      </w:pPr>
      <w:r w:rsidDel="00000000" w:rsidR="00000000" w:rsidRPr="00000000">
        <w:rPr>
          <w:sz w:val="24"/>
          <w:szCs w:val="24"/>
          <w:rtl w:val="0"/>
        </w:rPr>
      </w:r>
    </w:p>
    <w:p w:rsidR="00000000" w:rsidDel="00000000" w:rsidP="00000000" w:rsidRDefault="00000000" w:rsidRPr="00000000" w14:paraId="0000000B">
      <w:pPr>
        <w:keepLines w:val="1"/>
        <w:widowControl w:val="0"/>
        <w:spacing w:line="240" w:lineRule="auto" w:before="0" w:after="0"/>
        <w:jc w:val="right"/>
        <w:rPr>
          <w:sz w:val="24"/>
          <w:szCs w:val="24"/>
        </w:rPr>
      </w:pPr>
      <w:r w:rsidDel="00000000" w:rsidR="00000000" w:rsidRPr="00000000">
        <w:rPr>
          <w:sz w:val="24"/>
          <w:szCs w:val="24"/>
          <w:rtl w:val="0"/>
        </w:rPr>
      </w:r>
    </w:p>
    <w:p w:rsidR="00000000" w:rsidDel="00000000" w:rsidP="00000000" w:rsidRDefault="00000000" w:rsidRPr="00000000" w14:paraId="0000000C">
      <w:pPr>
        <w:keepLines w:val="1"/>
        <w:widowControl w:val="0"/>
        <w:spacing w:line="240" w:lineRule="auto" w:before="0" w:after="0"/>
        <w:jc w:val="right"/>
        <w:rPr>
          <w:sz w:val="24"/>
          <w:szCs w:val="24"/>
        </w:rPr>
      </w:pPr>
      <w:r w:rsidDel="00000000" w:rsidR="00000000" w:rsidRPr="00000000">
        <w:rPr>
          <w:sz w:val="24"/>
          <w:szCs w:val="24"/>
          <w:rtl w:val="0"/>
        </w:rPr>
      </w:r>
    </w:p>
    <w:p w:rsidR="00000000" w:rsidDel="00000000" w:rsidP="00000000" w:rsidRDefault="00000000" w:rsidRPr="00000000" w14:paraId="0000000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0">
      <w:pPr>
        <w:keepLines w:val="1"/>
        <w:widowControl w:val="0"/>
        <w:spacing w:line="240" w:lineRule="auto" w:before="0" w:after="120"/>
        <w:jc w:val="left"/>
        <w:rPr>
          <w:b w:val="1"/>
          <w:bCs w:val="1"/>
          <w:sz w:val="24"/>
          <w:szCs w:val="24"/>
        </w:rPr>
      </w:pPr>
      <w:r w:rsidDel="00000000" w:rsidR="00000000" w:rsidRPr="00000000">
        <w:rPr>
          <w:rFonts w:ascii="Arial" w:hAnsi="Arial"/>
          <w:b/>
          <w:bCs w:val="1"/>
          <w:sz w:val="24"/>
          <w:szCs w:val="24"/>
          <w:rtl w:val="0"/>
        </w:rPr>
        <w:t>RESUMO</w:t>
      </w:r>
    </w:p>
    <w:p w:rsidR="00000000" w:rsidDel="00000000" w:rsidP="00000000" w:rsidRDefault="00000000" w:rsidRPr="00000000" w14:paraId="00000011">
      <w:pPr>
        <w:keepLines w:val="1"/>
        <w:widowControl w:val="0"/>
        <w:spacing w:line="360" w:lineRule="auto" w:before="0" w:after="0"/>
        <w:rPr>
          <w:b w:val="1"/>
          <w:bCs w:val="1"/>
          <w:sz w:val="24"/>
          <w:szCs w:val="24"/>
        </w:rPr>
      </w:pPr>
      <w:r w:rsidDel="00000000" w:rsidR="00000000" w:rsidRPr="00000000">
        <w:rPr>
          <w:rtl w:val="0"/>
        </w:rPr>
      </w:r>
    </w:p>
    <w:p w:rsidR="00000000" w:rsidDel="00000000" w:rsidP="00000000" w:rsidRDefault="00000000" w:rsidRPr="00000000" w14:paraId="00000012">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Este trabalho nasce da minha experiência como mulher indígena Tuxá, professora e pesquisadora, e parte da compreensão de que contar a nossa própria história também é uma forma de resistência. Ao narrar a partida de Rodelas e a chegada do povo Tuxá a Ibotirama, escrevo sobre uma trajetória que atravessa minha família, meus parentes, nossos mais velhos e a memória coletiva da comunidade. Não se trata apenas de recuperar acontecimentos do passado, mas de afirmar o direito de produzir nossa própria narrativa, a partir de dentro, com nossas vozes, lembranças, afetos e modos de compreender o território.</w:t>
      </w:r>
    </w:p>
    <w:p w:rsidR="00000000" w:rsidDel="00000000" w:rsidP="00000000" w:rsidRDefault="00000000" w:rsidRPr="00000000" w14:paraId="00000013">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A história recente do povo Tuxá foi profundamente marcada pelo deslocamento decorrente da construção da Barragem de Itaparica, no Rio São Francisco. Rodelas não era somente um lugar de moradia: constituía um território de relações sociais, culturais, espirituais e afetivas. Ali estavam a pesca, a agricultura, as ilhas, os lugares de memória, os vínculos familiares e as práticas transmitidas entre gerações. A saída provocou rupturas profundas. A chegada a Ibotirama, por sua vez, exigiu reconstruir a vida em outro espaço, enfrentando dificuldades de moradia, água, alimentação, energia, saúde e educação. Mesmo diante dessas condições, a comunidade criou formas de permanência e resistência, e as mulheres tiveram participação decisiva na reorganização da vida coletiva.</w:t>
      </w:r>
    </w:p>
    <w:p w:rsidR="00000000" w:rsidDel="00000000" w:rsidP="00000000" w:rsidRDefault="00000000" w:rsidRPr="00000000" w14:paraId="00000014">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O protagonismo das mulheres Tuxá aparece, nesse processo, como dimensão fundamental da resistência. Diante das dificuldades encontradas nos primeiros tempos em Ibotirama, foram as mulheres que, junto às demais lideranças e famílias, contribuíram de maneira decisiva para reorganizar a vida cotidiana e fortalecer as reivindicações por condições dignas de existência. A luta por educação, saúde, moradia e permanência territorial não pode ser separada das experiências dessas mulheres, que transformaram cuidado, memória e participação comunitária em práticas políticas. Ao incluir essas experiências na escrita, procuro evidenciar que a reconstrução do território também se fez por meio de gestos cotidianos, da transmissão de saberes e da capacidade coletiva de refazer vínculos depois do deslocamento.</w:t>
      </w:r>
    </w:p>
    <w:p w:rsidR="00000000" w:rsidDel="00000000" w:rsidP="00000000" w:rsidRDefault="00000000" w:rsidRPr="00000000" w14:paraId="00000015">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A pesquisa assume a memória como parte central da produção do conhecimento. Nesse aspecto, dialogo com Maurice Halbwachs (2006), para quem a memória se constitui socialmente e é reconstruída no interior dos grupos. As lembranças sobre Rodelas, o Rio São Francisco, as ilhas, o deslocamento e os primeiros tempos em Ibotirama continuam sendo atualizadas nas conversas familiares e comunitárias. Ao registrar essas narrativas, compreendo que minha memória individual se encontra com a memória coletiva do povo Tuxá.</w:t>
      </w:r>
    </w:p>
    <w:p w:rsidR="00000000" w:rsidDel="00000000" w:rsidP="00000000" w:rsidRDefault="00000000" w:rsidRPr="00000000" w14:paraId="00000016">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Também me aproximo da noção de escrevivência, desenvolvida por Conceição Evaristo, por compreender que a escrita nasce da experiência vivida e não se separa da existência de quem escreve. Como mulher indígena, não observo essa história de fora: pertenço a ela. Escrevo a partir do que vivi, do que ouvi de minha mãe, de meus familiares e dos mais velhos, e daquilo que permanece inscrito na vida da comunidade. A escrevivência, nesse sentido, torna-se caminho para transformar memória, experiência e pertencimento em produção de conhecimento.</w:t>
      </w:r>
    </w:p>
    <w:p w:rsidR="00000000" w:rsidDel="00000000" w:rsidP="00000000" w:rsidRDefault="00000000" w:rsidRPr="00000000" w14:paraId="00000017">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A oralidade ocupa lugar fundamental na metodologia. Para nós, a palavra falada é forma de transmissão de saberes, ensinamentos e acontecimentos históricos. As narrativas dos mais velhos não aparecem como complemento menor dos documentos escritos, mas como fontes essenciais. Essa perspectiva dialoga com Linda Tuhiwai Smith (2012), ao questionar metodologias colonizadoras e defender modos de pesquisa comprometidos com os povos indígenas e com suas próprias formas de produzir conhecimento.</w:t>
      </w:r>
    </w:p>
    <w:p w:rsidR="00000000" w:rsidDel="00000000" w:rsidP="00000000" w:rsidRDefault="00000000" w:rsidRPr="00000000" w14:paraId="00000018">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Nesse percurso, utilizo a metodologia que denomino Pé de Mangueira. Ela nasce das práticas da própria comunidade e valoriza a conversa, a escuta, a convivência e o tempo das pessoas. Sob a mangueira, as memórias aparecem sem a rigidez de uma entrevista formal: as pessoas contam, recordam, silenciam, retomam acontecimentos e constroem coletivamente sentidos sobre o passado e o presente. O Pé de Mangueira, portanto, não é apenas um local físico, mas uma forma de pesquisar que reconhece a oralidade e a relação comunitária como caminhos legítimos de conhecimento.</w:t>
      </w:r>
    </w:p>
    <w:p w:rsidR="00000000" w:rsidDel="00000000" w:rsidP="00000000" w:rsidRDefault="00000000" w:rsidRPr="00000000" w14:paraId="00000019">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A reflexão sobre a perda e a reconstrução territorial também dialoga com Aníbal Quijano (2005), especialmente por meio do conceito de colonialidade do poder, que permite compreender como determinadas estruturas continuam submetendo povos indígenas a decisões externas sobre seus territórios e modos de vida. Em diálogo com Ailton Krenak (2019), o território é compreendido para além da ideia de propriedade: envolve ancestralidade, espiritualidade, água, plantas, animais, memória e relações construídas entre as gerações.</w:t>
      </w:r>
    </w:p>
    <w:p w:rsidR="00000000" w:rsidDel="00000000" w:rsidP="00000000" w:rsidRDefault="00000000" w:rsidRPr="00000000" w14:paraId="0000001A">
      <w:pPr>
        <w:keepLines w:val="1"/>
        <w:widowControl w:val="0"/>
        <w:spacing w:line="360" w:lineRule="auto" w:before="0" w:after="0"/>
        <w:jc w:val="both"/>
        <w:rPr>
          <w:sz w:val="24"/>
          <w:szCs w:val="24"/>
        </w:rPr>
      </w:pPr>
      <w:r w:rsidDel="00000000" w:rsidR="00000000" w:rsidRPr="00000000">
        <w:rPr>
          <w:rFonts w:ascii="Arial" w:hAnsi="Arial"/>
          <w:b w:val="0"/>
          <w:sz w:val="24"/>
          <w:szCs w:val="24"/>
          <w:rtl w:val="0"/>
        </w:rPr>
        <w:t>Assim, a narrativa da partida de Rodelas e da chegada a Ibotirama articula memória, oralidade, escrevivência, pesquisa documental e a metodologia Pé de Mangueira. Contar essa história é disputar os sentidos do passado e afirmar que os povos indígenas não são apenas objetos das narrativas produzidas por outros. Somos autores, pesquisadores, professores, narradores e sujeitos de nossa própria história. Escrever nossa trajetória é impedir o apagamento e fazer com que as novas gerações conheçam os caminhos percorridos por seus antepassados. Contar nossa própria história é resistir, permanecer e transformar memória em conhecimento e conhecimento em instrumento de luta.</w:t>
      </w:r>
    </w:p>
    <w:p w:rsidR="00000000" w:rsidDel="00000000" w:rsidP="00000000" w:rsidRDefault="00000000" w:rsidRPr="00000000" w14:paraId="0000001B">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1C">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1D">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1E">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1F">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0">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1">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2">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3">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4">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5">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6">
      <w:pPr>
        <w:keepLines w:val="1"/>
        <w:widowControl w:val="0"/>
        <w:spacing w:line="360" w:lineRule="auto" w:before="0" w:after="0"/>
        <w:jc w:val="both"/>
        <w:rPr>
          <w:sz w:val="24"/>
          <w:szCs w:val="24"/>
        </w:rPr>
      </w:pPr>
      <w:r w:rsidDel="00000000" w:rsidR="00000000" w:rsidRPr="00000000">
        <w:rPr>
          <w:sz w:val="24"/>
          <w:szCs w:val="24"/>
          <w:rtl w:val="0"/>
        </w:rPr>
      </w:r>
    </w:p>
    <w:p w:rsidR="00000000" w:rsidDel="00000000" w:rsidP="00000000" w:rsidRDefault="00000000" w:rsidRPr="00000000" w14:paraId="00000027">
      <w:pPr>
        <w:keepLines w:val="1"/>
        <w:widowControl w:val="0"/>
        <w:spacing w:line="360" w:lineRule="auto" w:before="0" w:after="0"/>
        <w:jc w:val="both"/>
        <w:rPr>
          <w:sz w:val="24"/>
          <w:szCs w:val="24"/>
        </w:rPr>
      </w:pPr>
      <w:r w:rsidDel="00000000" w:rsidR="00000000" w:rsidRPr="00000000">
        <w:rPr>
          <w:rtl w:val="0"/>
        </w:rPr>
      </w:r>
    </w:p>
    <w:p w:rsidR="00000000" w:rsidDel="00000000" w:rsidP="00000000" w:rsidRDefault="00000000" w:rsidRPr="00000000" w14:paraId="00000028">
      <w:pPr>
        <w:keepLines w:val="1"/>
        <w:widowControl w:val="0"/>
        <w:spacing w:line="240" w:lineRule="auto" w:before="120" w:after="60"/>
        <w:jc w:val="both"/>
        <w:rPr>
          <w:b w:val="1"/>
          <w:bCs w:val="1"/>
          <w:sz w:val="24"/>
          <w:szCs w:val="24"/>
        </w:rPr>
      </w:pPr>
      <w:r w:rsidDel="00000000" w:rsidR="00000000" w:rsidRPr="00000000">
        <w:rPr>
          <w:rFonts w:ascii="Arial" w:hAnsi="Arial"/>
          <w:b/>
          <w:bCs w:val="1"/>
          <w:sz w:val="24"/>
          <w:szCs w:val="24"/>
          <w:rtl w:val="0"/>
        </w:rPr>
        <w:t>PALAVRAS-CHAVE</w:t>
      </w:r>
    </w:p>
    <w:p w:rsidR="00000000" w:rsidDel="00000000" w:rsidP="00000000" w:rsidRDefault="00000000" w:rsidRPr="00000000" w14:paraId="00000029">
      <w:pPr>
        <w:keepLines w:val="1"/>
        <w:widowControl w:val="0"/>
        <w:spacing w:line="240" w:lineRule="auto" w:before="0" w:after="0"/>
        <w:jc w:val="both"/>
        <w:rPr>
          <w:sz w:val="24"/>
          <w:szCs w:val="24"/>
        </w:rPr>
      </w:pPr>
      <w:r w:rsidDel="00000000" w:rsidR="00000000" w:rsidRPr="00000000">
        <w:rPr>
          <w:rFonts w:ascii="Arial" w:hAnsi="Arial"/>
          <w:b w:val="0"/>
          <w:sz w:val="22"/>
          <w:szCs w:val="24"/>
          <w:rtl w:val="0"/>
        </w:rPr>
        <w:t>Povo Tuxá; narrativas autobiográficas; memória; território; oralidade; escrevivência.</w:t>
      </w:r>
    </w:p>
    <w:p w:rsidR="00000000" w:rsidDel="00000000" w:rsidP="00000000" w:rsidRDefault="00000000" w:rsidRPr="00000000" w14:paraId="0000002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C">
      <w:pPr>
        <w:keepLines w:val="1"/>
        <w:widowControl w:val="0"/>
        <w:spacing w:line="240" w:lineRule="auto" w:before="160" w:after="60"/>
        <w:jc w:val="left"/>
        <w:rPr>
          <w:sz w:val="24"/>
          <w:szCs w:val="24"/>
        </w:rPr>
      </w:pPr>
      <w:r w:rsidDel="00000000" w:rsidR="00000000" w:rsidRPr="00000000">
        <w:rPr>
          <w:rFonts w:ascii="Arial" w:hAnsi="Arial"/>
          <w:b/>
          <w:bCs w:val="1"/>
          <w:sz w:val="24"/>
          <w:szCs w:val="24"/>
          <w:rtl w:val="0"/>
        </w:rPr>
        <w:t>REFERÊNCIAS</w:t>
      </w:r>
    </w:p>
    <w:p w:rsidR="00000000" w:rsidDel="00000000" w:rsidP="00000000" w:rsidRDefault="00000000" w:rsidRPr="00000000" w14:paraId="0000002D">
      <w:pPr>
        <w:keepLines w:val="1"/>
        <w:widowControl w:val="0"/>
        <w:spacing w:line="240" w:lineRule="auto" w:after="0"/>
        <w:jc w:val="left"/>
        <w:rPr>
          <w:b w:val="1"/>
          <w:bCs w:val="1"/>
          <w:sz w:val="24"/>
          <w:szCs w:val="24"/>
        </w:rPr>
      </w:pPr>
      <w:r w:rsidDel="00000000" w:rsidR="00000000" w:rsidRPr="00000000">
        <w:rPr>
          <w:sz w:val="24"/>
          <w:szCs w:val="24"/>
          <w:rtl w:val="0"/>
        </w:rPr>
      </w:r>
      <w:r>
        <w:rPr>
          <w:rFonts w:ascii="Arial" w:hAnsi="Arial"/>
          <w:sz w:val="22"/>
        </w:rPr>
        <w:t>EVARISTO, Conceição. Escrevivência: a escrita de nós: reflexões sobre a obra de Conceição Evaristo. Rio de Janeiro: Mina Comunicação e Arte, 2020.</w:t>
        <w:br/>
      </w:r>
      <w:r>
        <w:rPr>
          <w:rFonts w:ascii="Arial" w:hAnsi="Arial"/>
          <w:sz w:val="22"/>
        </w:rPr>
        <w:t>HALBWACHS, Maurice. A memória coletiva. São Paulo: Centauro, 2006.</w:t>
        <w:br/>
      </w:r>
      <w:r>
        <w:rPr>
          <w:rFonts w:ascii="Arial" w:hAnsi="Arial"/>
          <w:sz w:val="22"/>
        </w:rPr>
        <w:t>KRENAK, Ailton. Ideias para adiar o fim do mundo. São Paulo: Companhia das Letras, 2019.</w:t>
        <w:br/>
      </w:r>
      <w:r>
        <w:rPr>
          <w:rFonts w:ascii="Arial" w:hAnsi="Arial"/>
          <w:sz w:val="22"/>
        </w:rPr>
        <w:t>QUIJANO, Aníbal. Colonialidade do poder, eurocentrismo e América Latina. In: LANDER, Edgardo (org.). A colonialidade do saber: eurocentrismo e ciências sociais: perspectivas latino-americanas. Buenos Aires: CLACSO, 2005.</w:t>
        <w:br/>
      </w:r>
      <w:r>
        <w:rPr>
          <w:rFonts w:ascii="Arial" w:hAnsi="Arial"/>
          <w:sz w:val="22"/>
        </w:rPr>
        <w:t>SMITH, Linda Tuhiwai. Decolonizing methodologies: research and indigenous peoples. 2. ed. London: Zed Books, 2012.</w:t>
      </w:r>
    </w:p>
    <w:p w:rsidR="00000000" w:rsidDel="00000000" w:rsidP="00000000" w:rsidRDefault="00000000" w:rsidRPr="00000000" w14:paraId="0000002E">
      <w:pPr>
        <w:spacing w:before="0" w:after="0"/>
        <w:rPr/>
      </w:pPr>
      <w:r w:rsidDel="00000000" w:rsidR="00000000" w:rsidRPr="00000000">
        <w:rPr>
          <w:rtl w:val="0"/>
        </w:rPr>
      </w:r>
    </w:p>
    <w:p w:rsidR="00000000" w:rsidDel="00000000" w:rsidP="00000000" w:rsidRDefault="00000000" w:rsidRPr="00000000" w14:paraId="0000002F">
      <w:pPr>
        <w:spacing w:after="0" w:line="240" w:lineRule="auto" w:before="0"/>
        <w:jc w:val="both"/>
        <w:rPr>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5791200</wp:posOffset>
          </wp:positionH>
          <wp:positionV relativeFrom="paragraph">
            <wp:posOffset>-304799</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31">
    <w:pPr>
      <w:jc w:val="right"/>
      <w:rPr/>
    </w:pPr>
    <w:r w:rsidDel="00000000" w:rsidR="00000000" w:rsidRPr="00000000">
      <w:rPr>
        <w:rtl w:val="0"/>
      </w:rPr>
    </w:r>
  </w:p>
  <w:p w:rsidR="00000000" w:rsidDel="00000000" w:rsidP="00000000" w:rsidRDefault="00000000" w:rsidRPr="00000000" w14:paraId="00000032">
    <w:pPr>
      <w:jc w:val="righ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-5714</wp:posOffset>
          </wp:positionV>
          <wp:extent cx="416339" cy="10716578"/>
          <wp:effectExtent b="0" l="0" r="0" t="0"/>
          <wp:wrapNone/>
          <wp:docPr id="3"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