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4A570" w14:textId="77777777" w:rsidR="00620482" w:rsidRDefault="00000000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CONVERSATÓRIO 10 - AUTORIA CRIATIVA, EDUCAÇÃO E CONSCIÊNCIA LINGUÍSTICA: ESTUDOS CRÍTICOS DO DISCURSO</w:t>
      </w:r>
    </w:p>
    <w:p w14:paraId="62CB7554" w14:textId="77777777" w:rsidR="00620482" w:rsidRDefault="0062048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26107D6" w14:textId="77777777" w:rsidR="00620482" w:rsidRDefault="0062048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F765AEF" w14:textId="77777777" w:rsidR="00620482" w:rsidRDefault="00000000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ABRINDO PORTAS E LIBERTANDO VOZES: Caminhos para a resistência social e cultural no </w:t>
      </w:r>
      <w:r>
        <w:rPr>
          <w:b/>
          <w:bCs/>
          <w:i/>
          <w:iCs/>
          <w:sz w:val="24"/>
          <w:szCs w:val="24"/>
        </w:rPr>
        <w:t>Slam</w:t>
      </w:r>
    </w:p>
    <w:p w14:paraId="0A8B5387" w14:textId="77777777" w:rsidR="00620482" w:rsidRDefault="00620482">
      <w:pPr>
        <w:keepLines/>
        <w:widowControl w:val="0"/>
        <w:spacing w:line="240" w:lineRule="auto"/>
        <w:rPr>
          <w:sz w:val="24"/>
          <w:szCs w:val="24"/>
        </w:rPr>
      </w:pPr>
    </w:p>
    <w:p w14:paraId="1E100736" w14:textId="77777777" w:rsidR="00620482" w:rsidRDefault="00620482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7F159B0" w14:textId="77777777" w:rsidR="00620482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Geraldo Eustáquio Moreira, Universidade de Brasília, </w:t>
      </w:r>
      <w:hyperlink r:id="rId7">
        <w:r w:rsidR="00620482">
          <w:rPr>
            <w:sz w:val="24"/>
            <w:szCs w:val="24"/>
            <w:u w:val="single"/>
          </w:rPr>
          <w:t>geust2007@gmail.com</w:t>
        </w:r>
      </w:hyperlink>
    </w:p>
    <w:p w14:paraId="310AA22F" w14:textId="77777777" w:rsidR="00620482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Railane Lima de Almeida, Universidade de Brasília, </w:t>
      </w:r>
      <w:hyperlink r:id="rId8">
        <w:r w:rsidR="00620482">
          <w:rPr>
            <w:sz w:val="24"/>
            <w:szCs w:val="24"/>
            <w:u w:val="single"/>
          </w:rPr>
          <w:t>raialmeida121314@gmail.com</w:t>
        </w:r>
      </w:hyperlink>
    </w:p>
    <w:p w14:paraId="7FFCB877" w14:textId="77777777" w:rsidR="00620482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Aroldo P. S. Sobrinho, Universidade de Brasília, </w:t>
      </w:r>
      <w:hyperlink r:id="rId9">
        <w:r w:rsidR="00620482">
          <w:rPr>
            <w:sz w:val="24"/>
            <w:szCs w:val="24"/>
            <w:u w:val="single"/>
          </w:rPr>
          <w:t>221016652aroldo@gmail.com</w:t>
        </w:r>
      </w:hyperlink>
    </w:p>
    <w:p w14:paraId="1D3DB3CE" w14:textId="77777777" w:rsidR="00620482" w:rsidRDefault="00620482">
      <w:pPr>
        <w:keepLines/>
        <w:widowControl w:val="0"/>
        <w:spacing w:line="240" w:lineRule="auto"/>
        <w:rPr>
          <w:sz w:val="24"/>
          <w:szCs w:val="24"/>
        </w:rPr>
      </w:pPr>
    </w:p>
    <w:p w14:paraId="6327A200" w14:textId="77777777" w:rsidR="00620482" w:rsidRDefault="0062048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27ED4BD" w14:textId="77777777" w:rsidR="00620482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56B3F801" w14:textId="77777777" w:rsidR="00620482" w:rsidRDefault="0062048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13E11AF" w14:textId="325BF75E" w:rsidR="00620482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termo necropolítica, cunhado pelo filósofo e cientista político camaronês </w:t>
      </w:r>
      <w:r w:rsidR="001F2B35" w:rsidRPr="001F2B35">
        <w:rPr>
          <w:sz w:val="24"/>
          <w:szCs w:val="24"/>
        </w:rPr>
        <w:t>Achille</w:t>
      </w:r>
      <w:r w:rsidR="001F2B35">
        <w:rPr>
          <w:sz w:val="24"/>
          <w:szCs w:val="24"/>
        </w:rPr>
        <w:t xml:space="preserve"> </w:t>
      </w:r>
      <w:r>
        <w:rPr>
          <w:sz w:val="24"/>
          <w:szCs w:val="24"/>
        </w:rPr>
        <w:t>Mbembe, descreve políticas de opressão, que ditam quais sujeitos têm direito à vida e a quais a sociedade e o Estado são indiferentes à morte</w:t>
      </w:r>
      <w:r w:rsidR="001F2B35">
        <w:rPr>
          <w:sz w:val="24"/>
          <w:szCs w:val="24"/>
        </w:rPr>
        <w:t xml:space="preserve"> (2018)</w:t>
      </w:r>
      <w:r>
        <w:rPr>
          <w:sz w:val="24"/>
          <w:szCs w:val="24"/>
        </w:rPr>
        <w:t>. Essa perspectiva serve como premissa para refletir acerca de como essas estruturas sociais se manifestam nos contextos em que estamos inseridos e as origens desse fenômeno.</w:t>
      </w:r>
    </w:p>
    <w:p w14:paraId="553956D1" w14:textId="5AAF1373" w:rsidR="00620482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No Brasil, esse sistema revela-se no genocídio da população negra, na precarização da vida nas periferias e no silenciamento sistemático de narrativas marginais. Ideias popularizadas para desqualificar e minimizar as resistências, as conquistas e o protagonismo do povo preto, por uma elite minoritária em relação à população do país, com domínio dos meios de comunicação e das instituições de produção de conhecimento, são apontad</w:t>
      </w:r>
      <w:r w:rsidR="00CD37E3">
        <w:rPr>
          <w:sz w:val="24"/>
          <w:szCs w:val="24"/>
        </w:rPr>
        <w:t>o</w:t>
      </w:r>
      <w:r>
        <w:rPr>
          <w:sz w:val="24"/>
          <w:szCs w:val="24"/>
        </w:rPr>
        <w:t>s por Santos (2019) como fundamentais para sustentar essas relações de opressão. Discursos que omitem as vozes de grupos periféricos, e das demais ditas minorias marginalizadas e diminuem suas contribuições culturais, levam a questionar como ter direito à palavra quando as narrativas hegemônicas coadunam com o silenciamento de alguns grupos sociais em detrimento da ascensão de outros?</w:t>
      </w:r>
    </w:p>
    <w:p w14:paraId="13C46D84" w14:textId="44FC886E" w:rsidR="00620482" w:rsidRDefault="00B2687E">
      <w:pPr>
        <w:spacing w:line="360" w:lineRule="auto"/>
        <w:ind w:firstLine="720"/>
        <w:jc w:val="both"/>
        <w:rPr>
          <w:sz w:val="24"/>
          <w:szCs w:val="24"/>
        </w:rPr>
      </w:pPr>
      <w:r w:rsidRPr="00B2687E">
        <w:rPr>
          <w:sz w:val="24"/>
          <w:szCs w:val="24"/>
        </w:rPr>
        <w:t>Em um país onde o racismo está condicionado a uma estrutura social preexistente, a arte, a cultura e a educação constituem meios para reescrever as narrativas que subjugam esses cidadãos. Nessa perspectiva, Santos e Moreira (2023) defendem que a educação comprometida com as relações étnico-raciais deve reconhecer os saberes historicamente invisibilizados e promover práticas pedagógicas que valorizem as identidades e os territórios de resistência.</w:t>
      </w:r>
      <w:r>
        <w:rPr>
          <w:sz w:val="24"/>
          <w:szCs w:val="24"/>
        </w:rPr>
        <w:t xml:space="preserve"> Por seu turno, o </w:t>
      </w:r>
      <w:r>
        <w:rPr>
          <w:i/>
          <w:iCs/>
          <w:sz w:val="24"/>
          <w:szCs w:val="24"/>
        </w:rPr>
        <w:t>slam</w:t>
      </w:r>
      <w:r>
        <w:rPr>
          <w:sz w:val="24"/>
          <w:szCs w:val="24"/>
        </w:rPr>
        <w:t xml:space="preserve"> “corresponde a um exemplo de como as ruas da periferia se tornam cenários em que vozes negras e marginalizadas assumem </w:t>
      </w:r>
      <w:r>
        <w:rPr>
          <w:sz w:val="24"/>
          <w:szCs w:val="24"/>
        </w:rPr>
        <w:lastRenderedPageBreak/>
        <w:t xml:space="preserve">protagonismo e reexistem por meio da linguagem” (Felix </w:t>
      </w:r>
      <w:r>
        <w:rPr>
          <w:i/>
          <w:iCs/>
          <w:sz w:val="24"/>
          <w:szCs w:val="24"/>
        </w:rPr>
        <w:t>et al.</w:t>
      </w:r>
      <w:r>
        <w:rPr>
          <w:sz w:val="24"/>
          <w:szCs w:val="24"/>
        </w:rPr>
        <w:t>, 2020, p. 209). Nesse espaço, os discursos acerca da população negra são escritos à luz de seus próprios protagonistas e nos cenários em que suas histórias são tecidas.</w:t>
      </w:r>
    </w:p>
    <w:p w14:paraId="71AA0F68" w14:textId="77777777" w:rsidR="00620482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>
        <w:rPr>
          <w:i/>
          <w:iCs/>
          <w:sz w:val="24"/>
          <w:szCs w:val="24"/>
        </w:rPr>
        <w:t>slam</w:t>
      </w:r>
      <w:r>
        <w:rPr>
          <w:sz w:val="24"/>
          <w:szCs w:val="24"/>
        </w:rPr>
        <w:t xml:space="preserve"> corresponde a batalhas de poesia performadas, onde a voz é instrumento de contestação. A ação, no geral, ocorre em espaços públicos e comunitários, onde os </w:t>
      </w:r>
      <w:r>
        <w:rPr>
          <w:i/>
          <w:iCs/>
          <w:sz w:val="24"/>
          <w:szCs w:val="24"/>
        </w:rPr>
        <w:t xml:space="preserve">slammers </w:t>
      </w:r>
      <w:r>
        <w:rPr>
          <w:sz w:val="24"/>
          <w:szCs w:val="24"/>
        </w:rPr>
        <w:t>reivindicam direitos narrativos em relação aos discursos que moldam identidades na sociedade. De modo geral, esta prática rompe com padrões tradicionais e rígidos da poesia, onde cada poeta tem um tempo para declamar sua composição autoral, sem apoio musical ou cênico. E então, é avaliado por um júri composto por pessoas da plateia, o que reforça o viés democrático do movimento.</w:t>
      </w:r>
    </w:p>
    <w:p w14:paraId="241DFA4D" w14:textId="77777777" w:rsidR="00620482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Nos versos dos poetas, a violência policial, o feminicídio, a desigualdade social, o apagamento e o genocídio da população negra são expostos sem filtros. A título de ilustração, discutiremos sobre o texto da poesia “Na ponta do abismo”, da </w:t>
      </w:r>
      <w:r>
        <w:rPr>
          <w:i/>
          <w:iCs/>
          <w:sz w:val="24"/>
          <w:szCs w:val="24"/>
        </w:rPr>
        <w:t xml:space="preserve">slammer </w:t>
      </w:r>
      <w:r>
        <w:rPr>
          <w:sz w:val="24"/>
          <w:szCs w:val="24"/>
        </w:rPr>
        <w:t>Carol Dalls Farias</w:t>
      </w:r>
      <w:r>
        <w:rPr>
          <w:sz w:val="24"/>
          <w:szCs w:val="24"/>
          <w:vertAlign w:val="superscript"/>
        </w:rPr>
        <w:footnoteReference w:id="1"/>
      </w:r>
      <w:r>
        <w:rPr>
          <w:sz w:val="24"/>
          <w:szCs w:val="24"/>
        </w:rPr>
        <w:t>. Na performance, a autora mobiliza a interseccionalidade entre raça e gênero para denunciar as múltiplas violências que atravessam a experiência das mulheres negras, evidenciando como o racismo e o patriarcado produzem desigualdades presentes no cotidiano, na história e no imaginário social. A figura da "mãe preta" representa uma existência marcada pela resistência diante de um sistema que naturaliza a dor, a sobrecarga e a desumanização dos corpos negros femininos.</w:t>
      </w:r>
    </w:p>
    <w:p w14:paraId="2D1816A5" w14:textId="77777777" w:rsidR="00620482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 metáfora da "ponta do abismo" simboliza a condição de vulnerabilidade imposta às mulheres negras, constantemente expostas à insegurança e ao risco. Essa representação confronta o imaginário racista que atribui à população negra uma suposta resistência natural ao sofrimento, ocultando as violências produzidas pelo racismo estrutural. Como afirma Jesus (2019), essa lógica sustenta discursos que transformam a resistência em obrigação e naturalizam a ideia de que "preta é firme", banalizando o sofrimento dessas mulheres.</w:t>
      </w:r>
    </w:p>
    <w:p w14:paraId="1029740A" w14:textId="77777777" w:rsidR="00620482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Essa violência também aparece quando o eu lírico afirma que um de seus filhos "dormiu" após ser alvejado por um corpo fardado. O termo funciona como um eufemismo para a morte de um jovem negro pela ação policial, revelando que esse episódio não constitui um fato isolado, mas integra uma política sistemática de extermínio. Retomando Mbembe (2018), o Estado estabelece quais vidas são protegidas e quais podem ser </w:t>
      </w:r>
      <w:r>
        <w:rPr>
          <w:sz w:val="24"/>
          <w:szCs w:val="24"/>
        </w:rPr>
        <w:lastRenderedPageBreak/>
        <w:t>descartadas, enquanto Kilomba (2019) demonstra que o racismo constitui uma estrutura de poder que atravessa instituições, discursos e relações sociais.</w:t>
      </w:r>
    </w:p>
    <w:p w14:paraId="21554AAC" w14:textId="77777777" w:rsidR="00620482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poema evidencia ainda que a resistência das mulheres negras antecede a própria consciência de existir. A herança transmitida entre gerações não corresponde apenas a bens materiais, mas também a responsabilidades, censuras e dores impostas desde o nascimento. Nesse contexto, a "tralha" mencionada pela poeta ilustra esse legado simbólico de sofrimento. A </w:t>
      </w:r>
      <w:r>
        <w:rPr>
          <w:i/>
          <w:iCs/>
          <w:sz w:val="24"/>
          <w:szCs w:val="24"/>
        </w:rPr>
        <w:t xml:space="preserve">slammer </w:t>
      </w:r>
      <w:r>
        <w:rPr>
          <w:sz w:val="24"/>
          <w:szCs w:val="24"/>
        </w:rPr>
        <w:t>reivindica um processo de libertação que rompe com o silêncio e ressignifica as experiências vividas. Como defende Kilomba (2019), nomear as violências constitui um ato político de resistência e reconstrução, recusando a permanência de um legado de dor como destino inevitável das mulheres negras.</w:t>
      </w:r>
    </w:p>
    <w:p w14:paraId="601E744F" w14:textId="342DD222" w:rsidR="00620482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Nas reflexões sobre democracia e escola</w:t>
      </w:r>
      <w:r w:rsidR="00BA24BB">
        <w:rPr>
          <w:sz w:val="24"/>
          <w:szCs w:val="24"/>
        </w:rPr>
        <w:t>,</w:t>
      </w:r>
      <w:r>
        <w:rPr>
          <w:sz w:val="24"/>
          <w:szCs w:val="24"/>
        </w:rPr>
        <w:t xml:space="preserve"> de Fraz </w:t>
      </w:r>
      <w:r>
        <w:rPr>
          <w:i/>
          <w:iCs/>
          <w:sz w:val="24"/>
          <w:szCs w:val="24"/>
        </w:rPr>
        <w:t>et al</w:t>
      </w:r>
      <w:r>
        <w:rPr>
          <w:sz w:val="24"/>
          <w:szCs w:val="24"/>
        </w:rPr>
        <w:t xml:space="preserve">. (2024), a escola deveria ser o agente de transformação e democratização da cultura e dos saberes. Espaço para reflexão e revisão social frente à dinâmica de uma sociedade em que a pluralidade brasileira implica em educações também plurais. Entretanto, no Brasil, a desigualdade adentra os espaços educativos e dificulta o cumprimento da democracia. Nesse caso, a escola, ao carecer com essa expectativa, dá espaço para que as ruas e as rodas de </w:t>
      </w:r>
      <w:r>
        <w:rPr>
          <w:i/>
          <w:iCs/>
          <w:sz w:val="24"/>
          <w:szCs w:val="24"/>
        </w:rPr>
        <w:t>slam</w:t>
      </w:r>
      <w:r>
        <w:rPr>
          <w:sz w:val="24"/>
          <w:szCs w:val="24"/>
        </w:rPr>
        <w:t xml:space="preserve"> o façam.</w:t>
      </w:r>
    </w:p>
    <w:p w14:paraId="0B60F403" w14:textId="09CE4AEC" w:rsidR="00620482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meio às declamações de cada poeta, a poesia, gênero discursivo puramente elitista por essência e idealização, é democratizada ao atrair e aproximar a juventude marginal de uma cultura onde até então não havia pertencimento ou espaço para construir um pertencer. </w:t>
      </w:r>
      <w:r w:rsidR="00BA24BB">
        <w:rPr>
          <w:sz w:val="24"/>
          <w:szCs w:val="24"/>
        </w:rPr>
        <w:t>Desta feita</w:t>
      </w:r>
      <w:r>
        <w:rPr>
          <w:sz w:val="24"/>
          <w:szCs w:val="24"/>
        </w:rPr>
        <w:t xml:space="preserve">, o </w:t>
      </w:r>
      <w:r>
        <w:rPr>
          <w:i/>
          <w:iCs/>
          <w:sz w:val="24"/>
          <w:szCs w:val="24"/>
        </w:rPr>
        <w:t>slam</w:t>
      </w:r>
      <w:r>
        <w:rPr>
          <w:sz w:val="24"/>
          <w:szCs w:val="24"/>
        </w:rPr>
        <w:t xml:space="preserve"> é um grito que rompe com as “mordaças sociais” que calam jovens periféricos. Um espaço onde o </w:t>
      </w:r>
      <w:r w:rsidR="00CD37E3">
        <w:rPr>
          <w:sz w:val="24"/>
          <w:szCs w:val="24"/>
        </w:rPr>
        <w:t>público</w:t>
      </w:r>
      <w:r>
        <w:rPr>
          <w:sz w:val="24"/>
          <w:szCs w:val="24"/>
        </w:rPr>
        <w:t xml:space="preserve"> negro encontra, na potência das palavras, lugar para resistir e (re)existir, às políticas de morte individual, social e cultural intrínsecas na formação do Brasil, por meio da linguagem.</w:t>
      </w:r>
    </w:p>
    <w:p w14:paraId="217DCD7D" w14:textId="77777777" w:rsidR="00620482" w:rsidRDefault="00000000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>
        <w:rPr>
          <w:i/>
          <w:iCs/>
          <w:sz w:val="24"/>
          <w:szCs w:val="24"/>
        </w:rPr>
        <w:t xml:space="preserve">slam </w:t>
      </w:r>
      <w:r>
        <w:rPr>
          <w:sz w:val="24"/>
          <w:szCs w:val="24"/>
        </w:rPr>
        <w:t>corresponde a um evento que transcende o caráter competitivo, onde a população negra, pobre e periférica encontra, além de reconhecimento, acolhimento e afeto, elementos essenciais para fortalecer identidades diante das adversidades da vida. Mais do que uma manifestação cultural popular a performance é o momento de partilha e conexão, onde o poeta tece narrativas próprias. A arte aqui não é apenas entretenimento, mas uma ferramenta de luta e reorganização do imaginário social. Um impulso para a transformação coletiva!</w:t>
      </w:r>
    </w:p>
    <w:p w14:paraId="7241094D" w14:textId="77777777" w:rsidR="00620482" w:rsidRDefault="00620482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40EC775" w14:textId="77777777" w:rsidR="00620482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0606B058" w14:textId="77777777" w:rsidR="00620482" w:rsidRDefault="00000000">
      <w:pPr>
        <w:spacing w:line="240" w:lineRule="auto"/>
        <w:jc w:val="both"/>
        <w:rPr>
          <w:sz w:val="24"/>
          <w:szCs w:val="24"/>
        </w:rPr>
      </w:pPr>
      <w:r>
        <w:t>Resistência; Poetry Slam; Poesia Falada; Performance; Cultura Popular.</w:t>
      </w:r>
    </w:p>
    <w:p w14:paraId="49A7D578" w14:textId="77777777" w:rsidR="00620482" w:rsidRDefault="00620482">
      <w:pPr>
        <w:keepLines/>
        <w:widowControl w:val="0"/>
        <w:spacing w:line="240" w:lineRule="auto"/>
        <w:rPr>
          <w:sz w:val="24"/>
          <w:szCs w:val="24"/>
        </w:rPr>
      </w:pPr>
    </w:p>
    <w:p w14:paraId="46B52A98" w14:textId="77777777" w:rsidR="00620482" w:rsidRDefault="0062048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F2FE66E" w14:textId="77777777" w:rsidR="00620482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</w:p>
    <w:p w14:paraId="5BA7E24D" w14:textId="77777777" w:rsidR="00620482" w:rsidRDefault="00620482">
      <w:pPr>
        <w:spacing w:line="240" w:lineRule="auto"/>
        <w:jc w:val="both"/>
        <w:rPr>
          <w:sz w:val="24"/>
          <w:szCs w:val="24"/>
        </w:rPr>
      </w:pPr>
    </w:p>
    <w:p w14:paraId="52A183BB" w14:textId="77777777" w:rsidR="00620482" w:rsidRDefault="0000000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FELIX, N. B. </w:t>
      </w:r>
      <w:r>
        <w:rPr>
          <w:i/>
          <w:iCs/>
          <w:sz w:val="24"/>
          <w:szCs w:val="24"/>
        </w:rPr>
        <w:t xml:space="preserve">et al. </w:t>
      </w:r>
      <w:r>
        <w:rPr>
          <w:sz w:val="24"/>
          <w:szCs w:val="24"/>
        </w:rPr>
        <w:t xml:space="preserve">O gênero </w:t>
      </w:r>
      <w:r>
        <w:rPr>
          <w:i/>
          <w:iCs/>
          <w:sz w:val="24"/>
          <w:szCs w:val="24"/>
        </w:rPr>
        <w:t>Poetry Slam</w:t>
      </w:r>
      <w:r>
        <w:rPr>
          <w:sz w:val="24"/>
          <w:szCs w:val="24"/>
        </w:rPr>
        <w:t xml:space="preserve">: Reexistência e Construção da Identidade Negra como um Grito das Vozes do Sul. </w:t>
      </w:r>
      <w:r>
        <w:rPr>
          <w:b/>
          <w:bCs/>
          <w:sz w:val="24"/>
          <w:szCs w:val="24"/>
        </w:rPr>
        <w:t>Revista da Anpoll</w:t>
      </w:r>
      <w:r>
        <w:rPr>
          <w:sz w:val="24"/>
          <w:szCs w:val="24"/>
        </w:rPr>
        <w:t xml:space="preserve">, Florianópolis, v. 51, n. 2, p. 208-217, jul-set. 2020. Disponível em: </w:t>
      </w:r>
      <w:hyperlink r:id="rId10">
        <w:r w:rsidR="00620482">
          <w:rPr>
            <w:sz w:val="24"/>
            <w:szCs w:val="24"/>
            <w:u w:val="single"/>
          </w:rPr>
          <w:t>https://doi.org/10.18309/anp.v5li2.1392</w:t>
        </w:r>
      </w:hyperlink>
      <w:r>
        <w:rPr>
          <w:sz w:val="24"/>
          <w:szCs w:val="24"/>
        </w:rPr>
        <w:t>.</w:t>
      </w:r>
    </w:p>
    <w:p w14:paraId="19477C05" w14:textId="77777777" w:rsidR="00620482" w:rsidRDefault="00620482">
      <w:pPr>
        <w:spacing w:line="240" w:lineRule="auto"/>
        <w:jc w:val="both"/>
        <w:rPr>
          <w:sz w:val="24"/>
          <w:szCs w:val="24"/>
        </w:rPr>
      </w:pPr>
    </w:p>
    <w:p w14:paraId="666D928C" w14:textId="77777777" w:rsidR="00620482" w:rsidRDefault="0000000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FRAZ, J. N. </w:t>
      </w:r>
      <w:r>
        <w:rPr>
          <w:i/>
          <w:iCs/>
          <w:sz w:val="24"/>
          <w:szCs w:val="24"/>
        </w:rPr>
        <w:t xml:space="preserve">et al. </w:t>
      </w:r>
      <w:r>
        <w:rPr>
          <w:sz w:val="24"/>
          <w:szCs w:val="24"/>
        </w:rPr>
        <w:t xml:space="preserve">O pensamento educacional de Anísio Teixeira: democracia e a escola. </w:t>
      </w:r>
      <w:r>
        <w:rPr>
          <w:b/>
          <w:bCs/>
          <w:sz w:val="24"/>
          <w:szCs w:val="24"/>
        </w:rPr>
        <w:t>Ensino &amp; Pesquisa</w:t>
      </w:r>
      <w:r>
        <w:rPr>
          <w:sz w:val="24"/>
          <w:szCs w:val="24"/>
        </w:rPr>
        <w:t xml:space="preserve">, União da Vitória, v. 22, n. 2, p. 555-570, abr.-ago., 2024. Disponível em: </w:t>
      </w:r>
      <w:hyperlink r:id="rId11">
        <w:r w:rsidR="00620482">
          <w:rPr>
            <w:sz w:val="24"/>
            <w:szCs w:val="24"/>
            <w:u w:val="single"/>
          </w:rPr>
          <w:t>https://doi.org/1.33871/23594381.2024.22.2.8366</w:t>
        </w:r>
      </w:hyperlink>
      <w:r>
        <w:rPr>
          <w:sz w:val="24"/>
          <w:szCs w:val="24"/>
        </w:rPr>
        <w:t>.</w:t>
      </w:r>
    </w:p>
    <w:p w14:paraId="149BF0AF" w14:textId="77777777" w:rsidR="00620482" w:rsidRDefault="00620482">
      <w:pPr>
        <w:spacing w:line="240" w:lineRule="auto"/>
        <w:jc w:val="both"/>
        <w:rPr>
          <w:sz w:val="24"/>
          <w:szCs w:val="24"/>
        </w:rPr>
      </w:pPr>
    </w:p>
    <w:p w14:paraId="3D6D2BA9" w14:textId="77777777" w:rsidR="00620482" w:rsidRDefault="0000000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JESUS, Jessica Oliveira. A máscara.</w:t>
      </w:r>
      <w:r>
        <w:rPr>
          <w:b/>
          <w:bCs/>
          <w:sz w:val="24"/>
          <w:szCs w:val="24"/>
        </w:rPr>
        <w:t xml:space="preserve"> Cadernos de Literatura em Tradução</w:t>
      </w:r>
      <w:r>
        <w:rPr>
          <w:sz w:val="24"/>
          <w:szCs w:val="24"/>
        </w:rPr>
        <w:t xml:space="preserve">, n.16, p. 171-180, 2016. Disponível em: </w:t>
      </w:r>
      <w:hyperlink r:id="rId12">
        <w:r w:rsidR="00620482">
          <w:rPr>
            <w:sz w:val="24"/>
            <w:szCs w:val="24"/>
            <w:u w:val="single"/>
          </w:rPr>
          <w:t>https://doi.org/10.11606/issn.2359-5388.i16p171-180</w:t>
        </w:r>
      </w:hyperlink>
      <w:r>
        <w:rPr>
          <w:sz w:val="24"/>
          <w:szCs w:val="24"/>
        </w:rPr>
        <w:t>.</w:t>
      </w:r>
    </w:p>
    <w:p w14:paraId="2030D42E" w14:textId="77777777" w:rsidR="00620482" w:rsidRDefault="00620482">
      <w:pPr>
        <w:spacing w:line="240" w:lineRule="auto"/>
        <w:jc w:val="both"/>
        <w:rPr>
          <w:b/>
          <w:bCs/>
          <w:sz w:val="24"/>
          <w:szCs w:val="24"/>
        </w:rPr>
      </w:pPr>
    </w:p>
    <w:p w14:paraId="0C489DC3" w14:textId="77777777" w:rsidR="00620482" w:rsidRDefault="0000000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KILOMBA, Grada. </w:t>
      </w:r>
      <w:r>
        <w:rPr>
          <w:b/>
          <w:bCs/>
          <w:sz w:val="24"/>
          <w:szCs w:val="24"/>
        </w:rPr>
        <w:t>Memórias da plantação</w:t>
      </w:r>
      <w:r>
        <w:rPr>
          <w:sz w:val="24"/>
          <w:szCs w:val="24"/>
        </w:rPr>
        <w:t>: Episódios de racismo cotidiano. 1 ed. Rio de Janeiro: Cobogó, 2019.</w:t>
      </w:r>
    </w:p>
    <w:p w14:paraId="58D90C64" w14:textId="77777777" w:rsidR="00620482" w:rsidRDefault="00620482">
      <w:pPr>
        <w:spacing w:line="240" w:lineRule="auto"/>
        <w:jc w:val="both"/>
        <w:rPr>
          <w:b/>
          <w:bCs/>
          <w:sz w:val="24"/>
          <w:szCs w:val="24"/>
        </w:rPr>
      </w:pPr>
    </w:p>
    <w:p w14:paraId="19BD4E45" w14:textId="77777777" w:rsidR="00620482" w:rsidRDefault="0000000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MBEMBE, A. </w:t>
      </w:r>
      <w:r>
        <w:rPr>
          <w:b/>
          <w:bCs/>
          <w:sz w:val="24"/>
          <w:szCs w:val="24"/>
        </w:rPr>
        <w:t>Necropolítica</w:t>
      </w:r>
      <w:r>
        <w:rPr>
          <w:sz w:val="24"/>
          <w:szCs w:val="24"/>
        </w:rPr>
        <w:t>. Trad. de Renata Santini. São Paulo: n-1 edições, 2018.</w:t>
      </w:r>
    </w:p>
    <w:p w14:paraId="0E705CCD" w14:textId="77777777" w:rsidR="00620482" w:rsidRDefault="00620482">
      <w:pPr>
        <w:spacing w:line="240" w:lineRule="auto"/>
        <w:jc w:val="both"/>
        <w:rPr>
          <w:sz w:val="24"/>
          <w:szCs w:val="24"/>
        </w:rPr>
      </w:pPr>
    </w:p>
    <w:p w14:paraId="07A4CCA3" w14:textId="77777777" w:rsidR="00620482" w:rsidRDefault="0000000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SANTOS, G. Linguagem e Decolonialidade: Discursos e(m) Resistência na Trilha da Aquilombagem Crítica. In: RESENDE, Viviane de Melo (Org.). </w:t>
      </w:r>
      <w:r>
        <w:rPr>
          <w:b/>
          <w:bCs/>
          <w:sz w:val="24"/>
          <w:szCs w:val="24"/>
        </w:rPr>
        <w:t>Decolonizar os Estudos Críticos do Discurso</w:t>
      </w:r>
      <w:r>
        <w:rPr>
          <w:sz w:val="24"/>
          <w:szCs w:val="24"/>
        </w:rPr>
        <w:t>. São Paulo: Pontes Editores, 2019, p. 11.</w:t>
      </w:r>
    </w:p>
    <w:p w14:paraId="64481A50" w14:textId="77777777" w:rsidR="00B2687E" w:rsidRDefault="00B2687E">
      <w:pPr>
        <w:spacing w:line="240" w:lineRule="auto"/>
        <w:jc w:val="both"/>
        <w:rPr>
          <w:sz w:val="24"/>
          <w:szCs w:val="24"/>
        </w:rPr>
      </w:pPr>
    </w:p>
    <w:p w14:paraId="02DE3F8A" w14:textId="13DA7380" w:rsidR="00B2687E" w:rsidRPr="00B2687E" w:rsidRDefault="00B2687E">
      <w:pPr>
        <w:spacing w:line="240" w:lineRule="auto"/>
        <w:jc w:val="both"/>
        <w:rPr>
          <w:sz w:val="24"/>
          <w:szCs w:val="24"/>
        </w:rPr>
      </w:pPr>
      <w:r w:rsidRPr="00B2687E">
        <w:rPr>
          <w:sz w:val="24"/>
          <w:szCs w:val="24"/>
        </w:rPr>
        <w:t>SANTOS, H</w:t>
      </w:r>
      <w:r>
        <w:rPr>
          <w:sz w:val="24"/>
          <w:szCs w:val="24"/>
        </w:rPr>
        <w:t xml:space="preserve">. </w:t>
      </w:r>
      <w:r w:rsidRPr="00B2687E">
        <w:rPr>
          <w:sz w:val="24"/>
          <w:szCs w:val="24"/>
        </w:rPr>
        <w:t>R</w:t>
      </w:r>
      <w:r>
        <w:rPr>
          <w:sz w:val="24"/>
          <w:szCs w:val="24"/>
        </w:rPr>
        <w:t xml:space="preserve">. </w:t>
      </w:r>
      <w:r w:rsidRPr="00B2687E">
        <w:rPr>
          <w:sz w:val="24"/>
          <w:szCs w:val="24"/>
        </w:rPr>
        <w:t>dos; MOREIRA, G</w:t>
      </w:r>
      <w:r>
        <w:rPr>
          <w:sz w:val="24"/>
          <w:szCs w:val="24"/>
        </w:rPr>
        <w:t xml:space="preserve">. </w:t>
      </w:r>
      <w:r w:rsidRPr="00B2687E">
        <w:rPr>
          <w:sz w:val="24"/>
          <w:szCs w:val="24"/>
        </w:rPr>
        <w:t>E</w:t>
      </w:r>
      <w:r>
        <w:rPr>
          <w:sz w:val="24"/>
          <w:szCs w:val="24"/>
        </w:rPr>
        <w:t xml:space="preserve">. </w:t>
      </w:r>
      <w:r w:rsidRPr="00B2687E">
        <w:rPr>
          <w:sz w:val="24"/>
          <w:szCs w:val="24"/>
        </w:rPr>
        <w:t xml:space="preserve">Relações Étnico-Raciais e a Educação Escolar Quilombola: Alguns apontamentos. </w:t>
      </w:r>
      <w:r w:rsidRPr="00B2687E">
        <w:rPr>
          <w:b/>
          <w:bCs/>
          <w:sz w:val="24"/>
          <w:szCs w:val="24"/>
        </w:rPr>
        <w:t>Revista ECCOM - Educação, Cultura e Comunicação</w:t>
      </w:r>
      <w:r w:rsidRPr="00B2687E">
        <w:rPr>
          <w:sz w:val="24"/>
          <w:szCs w:val="24"/>
        </w:rPr>
        <w:t>, Vol. 14, n. 27, 2023, p. 63-82, ISSN: 2177-5087. Disponível em: https://mega.nz/file/qEBmwBRB#TBTTnU4PToBMZzePXSCV1nK8HWx9Vp6W-hFu4tZTpHI</w:t>
      </w:r>
      <w:r>
        <w:rPr>
          <w:sz w:val="24"/>
          <w:szCs w:val="24"/>
        </w:rPr>
        <w:t>.</w:t>
      </w:r>
    </w:p>
    <w:sectPr w:rsidR="00B2687E" w:rsidRPr="00B2687E">
      <w:headerReference w:type="default" r:id="rId13"/>
      <w:footerReference w:type="default" r:id="rId14"/>
      <w:headerReference w:type="first" r:id="rId15"/>
      <w:footerReference w:type="first" r:id="rId16"/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C6FA" w14:textId="77777777" w:rsidR="00CB303F" w:rsidRDefault="00CB303F">
      <w:pPr>
        <w:spacing w:line="240" w:lineRule="auto"/>
      </w:pPr>
      <w:r>
        <w:separator/>
      </w:r>
    </w:p>
  </w:endnote>
  <w:endnote w:type="continuationSeparator" w:id="0">
    <w:p w14:paraId="70247544" w14:textId="77777777" w:rsidR="00CB303F" w:rsidRDefault="00CB30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D052FB-AB29-45C0-BB82-1A70064B8B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8ACC1B-7A7C-4DFB-912A-430C242927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CE12" w14:textId="77777777" w:rsidR="0062048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D37E3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EA8B4" w14:textId="77777777" w:rsidR="00620482" w:rsidRDefault="0062048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8E165" w14:textId="77777777" w:rsidR="00CB303F" w:rsidRDefault="00CB303F">
      <w:pPr>
        <w:spacing w:line="240" w:lineRule="auto"/>
      </w:pPr>
      <w:r>
        <w:separator/>
      </w:r>
    </w:p>
  </w:footnote>
  <w:footnote w:type="continuationSeparator" w:id="0">
    <w:p w14:paraId="55E9F502" w14:textId="77777777" w:rsidR="00CB303F" w:rsidRDefault="00CB303F">
      <w:pPr>
        <w:spacing w:line="240" w:lineRule="auto"/>
      </w:pPr>
      <w:r>
        <w:continuationSeparator/>
      </w:r>
    </w:p>
  </w:footnote>
  <w:footnote w:id="1">
    <w:p w14:paraId="24D618A0" w14:textId="77777777" w:rsidR="00620482" w:rsidRDefault="00000000">
      <w:pPr>
        <w:spacing w:line="24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Disponível na íntegra, gratuitamente, na plataforma de vídeos </w:t>
      </w:r>
      <w:r>
        <w:rPr>
          <w:i/>
          <w:iCs/>
          <w:sz w:val="20"/>
          <w:szCs w:val="20"/>
        </w:rPr>
        <w:t>YouTube</w:t>
      </w:r>
      <w:r>
        <w:rPr>
          <w:sz w:val="20"/>
          <w:szCs w:val="20"/>
        </w:rPr>
        <w:t>, em: &lt;</w:t>
      </w:r>
      <w:hyperlink r:id="rId1">
        <w:r w:rsidR="00620482">
          <w:rPr>
            <w:sz w:val="20"/>
            <w:szCs w:val="20"/>
            <w:u w:val="single"/>
          </w:rPr>
          <w:t>https://www.youtube.com/watch?v=DbQXy_jcCXE</w:t>
        </w:r>
      </w:hyperlink>
      <w:r>
        <w:rPr>
          <w:sz w:val="20"/>
          <w:szCs w:val="20"/>
        </w:rPr>
        <w:t>&gt;.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A06A7" w14:textId="77777777" w:rsidR="00620482" w:rsidRDefault="00000000">
    <w:pPr>
      <w:jc w:val="right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765F9BB" wp14:editId="3E2A2BF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72E47F16" wp14:editId="42EC5438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1E0B83" w14:textId="77777777" w:rsidR="00620482" w:rsidRDefault="00620482">
    <w:pPr>
      <w:jc w:val="right"/>
    </w:pPr>
  </w:p>
  <w:p w14:paraId="0AAC6813" w14:textId="77777777" w:rsidR="00620482" w:rsidRDefault="00620482">
    <w:pPr>
      <w:jc w:val="right"/>
    </w:pPr>
  </w:p>
  <w:p w14:paraId="13215F52" w14:textId="77777777" w:rsidR="00620482" w:rsidRDefault="00000000">
    <w:r>
      <w:rPr>
        <w:noProof/>
      </w:rPr>
      <w:drawing>
        <wp:anchor distT="0" distB="0" distL="0" distR="0" simplePos="0" relativeHeight="251660288" behindDoc="1" locked="0" layoutInCell="1" hidden="0" allowOverlap="1" wp14:anchorId="7F67D177" wp14:editId="4CDBBC5D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23C4" w14:textId="77777777" w:rsidR="00620482" w:rsidRDefault="0062048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482"/>
    <w:rsid w:val="000A4B5E"/>
    <w:rsid w:val="001F2B35"/>
    <w:rsid w:val="00620482"/>
    <w:rsid w:val="00763A36"/>
    <w:rsid w:val="00B2687E"/>
    <w:rsid w:val="00BA24BB"/>
    <w:rsid w:val="00BD375F"/>
    <w:rsid w:val="00CB303F"/>
    <w:rsid w:val="00CD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D2FD6"/>
  <w15:docId w15:val="{59ABA935-90E6-41C3-A3CF-5CE006D50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ialmeida121314@gmail.com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eust2007@gmail.com" TargetMode="External"/><Relationship Id="rId12" Type="http://schemas.openxmlformats.org/officeDocument/2006/relationships/hyperlink" Target="https://doi.org/10.11606/issn.2359-5388.i16p171-18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i.org/1.33871/23594381.2024.22.2.8366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doi.org/10.18309/anp.v5li2.13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221016652aroldo@gmail.com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DbQXy_jcCXE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nx6iiokcyMTgmDcBnfN981w1Q==">CgMxLjA4AHIhMU5PQ3l2azc1WHZPR2dMTDh6eTEyN3M5QzlGNlQyZzhN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1323</Words>
  <Characters>7634</Characters>
  <Application>Microsoft Office Word</Application>
  <DocSecurity>0</DocSecurity>
  <Lines>136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Geraldo Eustáquio Moreira</cp:lastModifiedBy>
  <cp:revision>4</cp:revision>
  <dcterms:created xsi:type="dcterms:W3CDTF">2026-08-07T00:06:00Z</dcterms:created>
  <dcterms:modified xsi:type="dcterms:W3CDTF">2026-08-07T00:33:00Z</dcterms:modified>
</cp:coreProperties>
</file>