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202F3" w14:textId="19524A90" w:rsidR="009C2367" w:rsidRPr="002326FF" w:rsidRDefault="00DC491C" w:rsidP="00F93930">
      <w:pPr>
        <w:keepLines/>
        <w:widowControl w:val="0"/>
        <w:spacing w:line="480" w:lineRule="auto"/>
        <w:ind w:firstLine="720"/>
        <w:jc w:val="both"/>
        <w:rPr>
          <w:b/>
          <w:bCs/>
          <w:sz w:val="24"/>
          <w:szCs w:val="24"/>
          <w:lang w:val="es-ES"/>
        </w:rPr>
      </w:pPr>
      <w:r w:rsidRPr="002326FF">
        <w:rPr>
          <w:b/>
          <w:bCs/>
          <w:sz w:val="24"/>
          <w:szCs w:val="24"/>
          <w:lang w:val="es-ES"/>
        </w:rPr>
        <w:t>CONVERSATÓRIO 11 – CLIMA, GÊNERO E PEDAGOGIAS ECOFEMINISTAS COMUNITÁRIAS: CUIDADO, CURA E AFETO PARA TECER OUTRAS EDUCAÇÕES E OUTROS FUTUROS</w:t>
      </w:r>
    </w:p>
    <w:p w14:paraId="4ADB768E" w14:textId="77777777" w:rsidR="009C2367" w:rsidRPr="002326FF" w:rsidRDefault="009C2367" w:rsidP="00F93930">
      <w:pPr>
        <w:keepLines/>
        <w:widowControl w:val="0"/>
        <w:spacing w:line="480" w:lineRule="auto"/>
        <w:jc w:val="both"/>
        <w:rPr>
          <w:b/>
          <w:bCs/>
          <w:sz w:val="24"/>
          <w:szCs w:val="24"/>
          <w:lang w:val="es-ES"/>
        </w:rPr>
      </w:pPr>
    </w:p>
    <w:p w14:paraId="1A0B506D" w14:textId="778842AC" w:rsidR="008B0D66" w:rsidRPr="002326FF" w:rsidRDefault="008B0D66" w:rsidP="00666130">
      <w:pPr>
        <w:pStyle w:val="p1"/>
        <w:spacing w:line="480" w:lineRule="auto"/>
        <w:ind w:firstLine="720"/>
        <w:jc w:val="center"/>
        <w:rPr>
          <w:rFonts w:ascii="Arial" w:hAnsi="Arial" w:cs="Arial"/>
          <w:b/>
          <w:bCs/>
          <w:sz w:val="24"/>
          <w:szCs w:val="24"/>
          <w:lang w:val="es-ES"/>
        </w:rPr>
      </w:pPr>
      <w:r w:rsidRPr="002326FF">
        <w:rPr>
          <w:rFonts w:ascii="Arial" w:hAnsi="Arial" w:cs="Arial"/>
          <w:b/>
          <w:bCs/>
          <w:sz w:val="24"/>
          <w:szCs w:val="24"/>
          <w:lang w:val="es-ES"/>
        </w:rPr>
        <w:t xml:space="preserve">Declaratoria de Reserva Hídrica en la Jurisdicción Territorial del </w:t>
      </w:r>
      <w:r w:rsidR="00666130" w:rsidRPr="002326FF">
        <w:rPr>
          <w:rFonts w:ascii="Arial" w:hAnsi="Arial" w:cs="Arial"/>
          <w:b/>
          <w:bCs/>
          <w:sz w:val="24"/>
          <w:szCs w:val="24"/>
          <w:lang w:val="es-ES"/>
        </w:rPr>
        <w:t>Pueblo Kayambi</w:t>
      </w:r>
    </w:p>
    <w:p w14:paraId="211F9D78" w14:textId="77777777" w:rsidR="009C2367" w:rsidRPr="002326FF" w:rsidRDefault="009C2367" w:rsidP="002326FF">
      <w:pPr>
        <w:keepLines/>
        <w:widowControl w:val="0"/>
        <w:spacing w:line="480" w:lineRule="auto"/>
        <w:jc w:val="both"/>
        <w:rPr>
          <w:b/>
          <w:bCs/>
          <w:sz w:val="24"/>
          <w:szCs w:val="24"/>
          <w:lang w:val="es-ES"/>
        </w:rPr>
      </w:pPr>
    </w:p>
    <w:p w14:paraId="403CAFF3" w14:textId="0F017BD4" w:rsidR="009C2367" w:rsidRPr="002326FF" w:rsidRDefault="00EB2F9A" w:rsidP="002326FF">
      <w:pPr>
        <w:keepLines/>
        <w:widowControl w:val="0"/>
        <w:spacing w:line="480" w:lineRule="auto"/>
        <w:ind w:firstLine="720"/>
        <w:jc w:val="right"/>
        <w:rPr>
          <w:sz w:val="24"/>
          <w:szCs w:val="24"/>
          <w:lang w:val="es-ES"/>
        </w:rPr>
      </w:pPr>
      <w:bookmarkStart w:id="0" w:name="_Hlk237436636"/>
      <w:r w:rsidRPr="002326FF">
        <w:rPr>
          <w:sz w:val="24"/>
          <w:szCs w:val="24"/>
          <w:lang w:val="es-ES"/>
        </w:rPr>
        <w:t>Verónica</w:t>
      </w:r>
      <w:r w:rsidR="000F2CA7" w:rsidRPr="002326FF">
        <w:rPr>
          <w:sz w:val="24"/>
          <w:szCs w:val="24"/>
          <w:lang w:val="es-ES"/>
        </w:rPr>
        <w:t xml:space="preserve"> Alexandra Aguilar Peralta</w:t>
      </w:r>
      <w:r w:rsidR="002326FF">
        <w:rPr>
          <w:sz w:val="24"/>
          <w:szCs w:val="24"/>
          <w:lang w:val="es-ES"/>
        </w:rPr>
        <w:t xml:space="preserve">, </w:t>
      </w:r>
      <w:r w:rsidR="00666130" w:rsidRPr="002326FF">
        <w:rPr>
          <w:sz w:val="24"/>
          <w:szCs w:val="24"/>
          <w:lang w:val="es-ES"/>
        </w:rPr>
        <w:t>Cayambe, San Nicolás</w:t>
      </w:r>
      <w:r w:rsidR="002326FF">
        <w:rPr>
          <w:sz w:val="24"/>
          <w:szCs w:val="24"/>
          <w:lang w:val="es-ES"/>
        </w:rPr>
        <w:t xml:space="preserve">, </w:t>
      </w:r>
      <w:r w:rsidR="00666130" w:rsidRPr="002326FF">
        <w:rPr>
          <w:sz w:val="24"/>
          <w:szCs w:val="24"/>
          <w:lang w:val="es-ES"/>
        </w:rPr>
        <w:t>Soloverito.83@gmail.com</w:t>
      </w:r>
    </w:p>
    <w:bookmarkEnd w:id="0"/>
    <w:p w14:paraId="7336C73B" w14:textId="77777777" w:rsidR="009C2367" w:rsidRPr="002326FF" w:rsidRDefault="009C2367" w:rsidP="00F93930">
      <w:pPr>
        <w:keepLines/>
        <w:widowControl w:val="0"/>
        <w:spacing w:line="480" w:lineRule="auto"/>
        <w:ind w:firstLine="720"/>
        <w:jc w:val="both"/>
        <w:rPr>
          <w:b/>
          <w:bCs/>
          <w:sz w:val="24"/>
          <w:szCs w:val="24"/>
          <w:lang w:val="es-ES"/>
        </w:rPr>
      </w:pPr>
    </w:p>
    <w:p w14:paraId="022EAB76" w14:textId="27FB4332" w:rsidR="00066F69" w:rsidRPr="002326FF" w:rsidRDefault="00DC491C" w:rsidP="00F93930">
      <w:pPr>
        <w:keepLines/>
        <w:widowControl w:val="0"/>
        <w:spacing w:line="480" w:lineRule="auto"/>
        <w:ind w:firstLine="720"/>
        <w:jc w:val="both"/>
        <w:rPr>
          <w:sz w:val="24"/>
          <w:szCs w:val="24"/>
          <w:lang w:val="es-ES"/>
        </w:rPr>
      </w:pPr>
      <w:r w:rsidRPr="002326FF">
        <w:rPr>
          <w:sz w:val="24"/>
          <w:szCs w:val="24"/>
          <w:lang w:val="es-ES"/>
        </w:rPr>
        <w:t>RESUMEN</w:t>
      </w:r>
    </w:p>
    <w:p w14:paraId="2C5645DF" w14:textId="1C82B4C4" w:rsidR="00EB0F22" w:rsidRPr="002326FF" w:rsidRDefault="004C5A63" w:rsidP="00F93930">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"El agua no es una mercancía ni un simple recurso; es el principio de la vida, el vínculo espiritual con la Pachamama y la herencia más valiosa que tenemos la responsabilidad de proteger para las generaciones presentes y futuras."</w:t>
      </w:r>
      <w:r w:rsidRPr="002326FF">
        <w:rPr>
          <w:rFonts w:ascii="Arial" w:hAnsi="Arial" w:cs="Arial"/>
        </w:rPr>
        <w:br/>
      </w:r>
      <w:r w:rsidR="00F9565E" w:rsidRPr="002326FF">
        <w:rPr>
          <w:rStyle w:val="Forte"/>
          <w:rFonts w:ascii="Arial" w:hAnsi="Arial" w:cs="Arial"/>
          <w:b w:val="0"/>
          <w:bCs w:val="0"/>
        </w:rPr>
        <w:t>(</w:t>
      </w:r>
      <w:r w:rsidRPr="002326FF">
        <w:rPr>
          <w:rStyle w:val="Forte"/>
          <w:rFonts w:ascii="Arial" w:hAnsi="Arial" w:cs="Arial"/>
          <w:b w:val="0"/>
          <w:bCs w:val="0"/>
        </w:rPr>
        <w:t>Aguilar, 2026</w:t>
      </w:r>
      <w:r w:rsidR="00F9565E" w:rsidRPr="002326FF">
        <w:rPr>
          <w:rStyle w:val="Forte"/>
          <w:rFonts w:ascii="Arial" w:hAnsi="Arial" w:cs="Arial"/>
          <w:b w:val="0"/>
          <w:bCs w:val="0"/>
        </w:rPr>
        <w:t>).</w:t>
      </w:r>
    </w:p>
    <w:p w14:paraId="5158DAF1" w14:textId="4623BF86" w:rsidR="00A529B7" w:rsidRPr="002326FF" w:rsidRDefault="00A529B7" w:rsidP="00F93930">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 xml:space="preserve">La protección del agua constituye una de las mayores dificultades que enfrenta el Ecuador en el siglo XXI. Esta problemática es ocasionada por el incremento de los cultivos de la agricultura intensiva, la expansión urbana incontrolada, la contaminación del agua y la severidad del cambio climático. Las crisis indicadas configuran realidades sinérgicas que se encuentran yuxtapuestas, siendo la degradación ambiental la que condiciona la seguridad hídrica de la región y los problemas de resiliencia de los ecosistemas como señalan Barreto-Paico (2025) y Castro &amp; Rajadel (2021). Desde una lectura ecofeminista comunitaria, esta problemática no debe </w:t>
      </w:r>
      <w:r w:rsidRPr="002326FF">
        <w:rPr>
          <w:rStyle w:val="Forte"/>
          <w:rFonts w:ascii="Arial" w:hAnsi="Arial" w:cs="Arial"/>
          <w:b w:val="0"/>
          <w:bCs w:val="0"/>
        </w:rPr>
        <w:lastRenderedPageBreak/>
        <w:t>interpretarse como un problema técnico, sino más bien como una vulneración a las pedagogías del cuidado promovidas por las mujeres kayambis para garantizar la viabilidad de la vida y de las cuencas en las que vive nuestra comunidad.</w:t>
      </w:r>
    </w:p>
    <w:p w14:paraId="13CF23BD" w14:textId="3BB8638F" w:rsidR="00004643" w:rsidRPr="002326FF" w:rsidRDefault="00004643" w:rsidP="00E35D69">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Ante estas agresiones, el Pueblo Kayambi inició una actividad sin antecedentes: la Declaratoria de Reserva Hídrica en su Territorio Ancestral que fue aprobada el 16 de noviembre de 2018. A las semanas la Secretaría Nacional del Agua (SENAGUA) reconoció la iniciativa mediante el Acuerdo N.° 2018-0259 (Registro Oficial N.°408 del 17 de enero de 2019). Este es uno de los primeros hitos en Ecuador en cuanto a que se produce la integración formal de una iniciativa comunitaria, en este caso</w:t>
      </w:r>
      <w:r w:rsidR="00E35D69">
        <w:rPr>
          <w:rStyle w:val="Forte"/>
          <w:rFonts w:ascii="Arial" w:hAnsi="Arial" w:cs="Arial"/>
          <w:b w:val="0"/>
          <w:bCs w:val="0"/>
        </w:rPr>
        <w:t xml:space="preserve"> </w:t>
      </w:r>
      <w:r w:rsidRPr="002326FF">
        <w:rPr>
          <w:rStyle w:val="Forte"/>
          <w:rFonts w:ascii="Arial" w:hAnsi="Arial" w:cs="Arial"/>
          <w:b w:val="0"/>
          <w:bCs w:val="0"/>
        </w:rPr>
        <w:t xml:space="preserve">tal como señala Palomino (2025) la articulación de las demandas comunitarias y el reconocimiento de las propias iniciativas requiere de una construcción de instituciones a favor de resolver conflictos socioambientales. </w:t>
      </w:r>
    </w:p>
    <w:p w14:paraId="0DBC8A9E" w14:textId="0C9AD305" w:rsidR="00004643" w:rsidRPr="002326FF" w:rsidRDefault="00004643" w:rsidP="00F93930">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En su contexto, las comunidades del Pueblo Kayambi ya protegían páramos, humedales, lagunas y bosques andinos mucho antes de la década de los 1990 por medio de mingas, normativas comunitarias, y principios de reciprocidad y afecto.</w:t>
      </w:r>
    </w:p>
    <w:p w14:paraId="4C11C266" w14:textId="77777777" w:rsidR="00FE7164" w:rsidRPr="002326FF" w:rsidRDefault="00FE7164" w:rsidP="00FE7164">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La proclamación vigente se presenta como respuesta extralegal a la expansión agrícola, la agroindustria de las flores y las actividades extractivas. Como advierten Emran et al. (2021), el descontrol de estas industrias tiene efectos directos sobre la salud humana y la preservación de los ecosistemas periféricos.</w:t>
      </w:r>
    </w:p>
    <w:p w14:paraId="2CFA0E5F" w14:textId="605BAE0D" w:rsidR="00FE7164" w:rsidRPr="002326FF" w:rsidRDefault="00FE7164" w:rsidP="00F93930">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 xml:space="preserve">Con base en la Constitución: Art. 12 (agua), Art. 14 (un ambiente sano), Arts. 71-74 (Derechos de la Naturaleza), Art. 57 (derechos colectivos), Art. 318 (gestión hídrica) y Art. 411 (cuencas), el Pueblo Kayambi tiene un papel central. Su territorio </w:t>
      </w:r>
      <w:r w:rsidRPr="002326FF">
        <w:rPr>
          <w:rStyle w:val="Forte"/>
          <w:rFonts w:ascii="Arial" w:hAnsi="Arial" w:cs="Arial"/>
          <w:b w:val="0"/>
          <w:bCs w:val="0"/>
        </w:rPr>
        <w:lastRenderedPageBreak/>
        <w:t>mantiene páramos y nacientes que alimentan a Cayambe, Pedro Moncayo y parte de Quito; son "esponjas naturales" esenciales para el ciclo del agua. Frente a la escasa protección estatal frente a los eventos extremos que analiza Brambilla Serra (2025), la comunidad se organiza para cuidar su territorio.</w:t>
      </w:r>
    </w:p>
    <w:p w14:paraId="2C0E679D" w14:textId="77777777" w:rsidR="000A66FB" w:rsidRPr="002326FF" w:rsidRDefault="000A66FB" w:rsidP="000A66FB">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A raíz de esto, la tierra Kayambi se define como "Territorio de Reserva Hídrica y Patrimonio Ancestral Imprescriptible y Vital" (aproximadamente 262.806,45 ha), donde se establecen prohibiciones a las plantaciones exóticas, a las florícolas en las áreas de recarga y también a la minería metálica, así como la condición de que la minería pétrea sólo se lleve a término con estudios de impacto y consentimiento de las comunidades.</w:t>
      </w:r>
    </w:p>
    <w:p w14:paraId="0A8E4560" w14:textId="3FA9B5EC" w:rsidR="000A66FB" w:rsidRPr="002326FF" w:rsidRDefault="000A66FB" w:rsidP="00F93930">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La permanencia de esta línea en la realidad se sostiene en las pedagogías ecofeministas de la resistencia. Frente a las caras en las que se desmiembra el territorio, la mirada Kayambi vuelve a entrelazar la destrucción ecosistémica. La intervención de las mujeres indígenas es estratégica en la esfera de la toma de decisiones, mostrando que la soberanía territorial se hace sobre la base de proteger la memoria del agua, por delante de la lógica mercantil.</w:t>
      </w:r>
    </w:p>
    <w:p w14:paraId="3CCFA3D4" w14:textId="528C8CD7" w:rsidR="00BE2482" w:rsidRPr="002326FF" w:rsidRDefault="00293883" w:rsidP="00E35D69">
      <w:pPr>
        <w:pStyle w:val="pdq2pgselectionanchorcontainer"/>
        <w:spacing w:line="480" w:lineRule="auto"/>
        <w:ind w:firstLine="720"/>
        <w:jc w:val="both"/>
        <w:rPr>
          <w:rStyle w:val="Forte"/>
          <w:rFonts w:ascii="Arial" w:hAnsi="Arial" w:cs="Arial"/>
          <w:b w:val="0"/>
          <w:bCs w:val="0"/>
        </w:rPr>
      </w:pPr>
      <w:r w:rsidRPr="002326FF">
        <w:rPr>
          <w:rStyle w:val="Forte"/>
          <w:rFonts w:ascii="Arial" w:hAnsi="Arial" w:cs="Arial"/>
          <w:b w:val="0"/>
          <w:bCs w:val="0"/>
        </w:rPr>
        <w:t xml:space="preserve">En el dicho ámbito donde se da el ejercicio de la gobernanza, esta experiencia da la oportunidad de ofrecer un contrapunto valioso a los hallazgos de Palomino (2025), sobre el debate regional, pues mientras el mismo debate avanza hacia la judicialización, el Pueblo Kayambi ha asumido esta voluntad colectiva como estrategia de institucionalización de su reproducción por transgresión de las jerarquías que le restringen en el lugar en el que habita. Transgresión corporal que además, sirve para complementar a Emran et al. (2021) y Brambilla Serra (2025), en cuanto esta </w:t>
      </w:r>
      <w:r w:rsidRPr="002326FF">
        <w:rPr>
          <w:rStyle w:val="Forte"/>
          <w:rFonts w:ascii="Arial" w:hAnsi="Arial" w:cs="Arial"/>
          <w:b w:val="0"/>
          <w:bCs w:val="0"/>
        </w:rPr>
        <w:lastRenderedPageBreak/>
        <w:t>declaratoria hace las veces de infraestructura resiliente a sequías e inundaciones para permitir el mantenimiento de la estabilidad hidrológica regional</w:t>
      </w:r>
      <w:r w:rsidR="00BE2482" w:rsidRPr="002326FF">
        <w:rPr>
          <w:rStyle w:val="Forte"/>
          <w:rFonts w:ascii="Arial" w:hAnsi="Arial" w:cs="Arial"/>
          <w:b w:val="0"/>
          <w:bCs w:val="0"/>
        </w:rPr>
        <w:t xml:space="preserve">. </w:t>
      </w:r>
      <w:r w:rsidR="00BE2482" w:rsidRPr="002326FF">
        <w:rPr>
          <w:rFonts w:ascii="Arial" w:eastAsiaTheme="minorEastAsia" w:hAnsi="Arial" w:cs="Arial"/>
          <w:lang w:val="es-VE" w:eastAsia="es-ES"/>
        </w:rPr>
        <w:t>Adicionalmente, es imperativo analizar cómo la Declaratoria de Reserva Hídrica se inserta en un debate geopolítico más amplio sobre la soberanía alimentaria y la autonomía frente al capital transnacional. El modelo hegemónico de desarrollo agroindustrial y extractivo no solamente mercantiliza los bienes naturales como el agua y la tierra, sino que subordina las economías locales a las cadenas de valor globales, desestructurando el tejido comunitario y socavando la seguridad alimentaria de los pueblos originarios. En este escenario, la praxis política del Pueblo Kayambi representa una ruptura epistemológica y material. Al blindar sus fuentes hídricas y prohibir la expansión de florícolas y monocultivos extensivos en zonas de recarga, la comunidad no solo resguarda su entorno inmediato, sino que desafía frontalmente los discursos oficiales de modernización que imponen el crecimiento económico por encima de la sostenibilidad de la vida. Esta forma de resistencia cotidiana, tejida colectivamente desde la memoria larga de los Andes y dinamizada por el liderazgo activo de las mujeres, demuestra que la defensa del agua es, en esencia, la defensa de la reproducción social comunitaria frente a las múltiples crisis civilizatorias del presente siglo.</w:t>
      </w:r>
    </w:p>
    <w:p w14:paraId="26784937" w14:textId="49AEA2D7" w:rsidR="00B964BE" w:rsidRPr="002326FF" w:rsidRDefault="00B964BE" w:rsidP="00293883">
      <w:pPr>
        <w:pStyle w:val="pdq2pgselectionanchorcontainer"/>
        <w:spacing w:line="480" w:lineRule="auto"/>
        <w:ind w:firstLine="720"/>
        <w:jc w:val="both"/>
        <w:rPr>
          <w:rFonts w:ascii="Arial" w:eastAsiaTheme="minorEastAsia" w:hAnsi="Arial" w:cs="Arial"/>
          <w:b/>
          <w:bCs/>
          <w:lang w:val="es-VE" w:eastAsia="es-ES"/>
        </w:rPr>
      </w:pPr>
      <w:r w:rsidRPr="002326FF">
        <w:rPr>
          <w:rFonts w:ascii="Arial" w:eastAsiaTheme="minorEastAsia" w:hAnsi="Arial" w:cs="Arial"/>
          <w:b/>
          <w:bCs/>
          <w:lang w:val="es-VE" w:eastAsia="es-ES"/>
        </w:rPr>
        <w:t>Conclusiones</w:t>
      </w:r>
    </w:p>
    <w:p w14:paraId="25B583F5" w14:textId="69E5CFB8" w:rsidR="00BE2482" w:rsidRPr="002326FF" w:rsidRDefault="00E13D0D" w:rsidP="00BE2482">
      <w:pPr>
        <w:pStyle w:val="pdq2pgselectionanchorcontainer"/>
        <w:spacing w:line="480" w:lineRule="auto"/>
        <w:ind w:firstLine="720"/>
        <w:jc w:val="both"/>
        <w:rPr>
          <w:rFonts w:ascii="Arial" w:eastAsiaTheme="minorEastAsia" w:hAnsi="Arial" w:cs="Arial"/>
          <w:lang w:val="es-VE" w:eastAsia="es-ES"/>
        </w:rPr>
      </w:pPr>
      <w:r w:rsidRPr="002326FF">
        <w:rPr>
          <w:rFonts w:ascii="Arial" w:eastAsiaTheme="minorEastAsia" w:hAnsi="Arial" w:cs="Arial"/>
          <w:lang w:val="es-VE" w:eastAsia="es-ES"/>
        </w:rPr>
        <w:t xml:space="preserve">El procedimiento que inauguró el Pueblo Kayambi desde 2018 materializa un modelo de justicia climática donde se da cita autonomía, norma constitucional y saberes de la sabiduría ancestral. La mayor victoria ha sido instaurar una nueva gramática del hábitat, cuya condición de posibilidad es permitir la pervivencia del ciclo </w:t>
      </w:r>
      <w:r w:rsidRPr="002326FF">
        <w:rPr>
          <w:rFonts w:ascii="Arial" w:eastAsiaTheme="minorEastAsia" w:hAnsi="Arial" w:cs="Arial"/>
          <w:lang w:val="es-VE" w:eastAsia="es-ES"/>
        </w:rPr>
        <w:lastRenderedPageBreak/>
        <w:t>de la vida, además de darle sentido a que la integridad de las fuentes de agua se encuentre directamente relacionada con el afianzamiento de la gobernabilidad comunitaria.</w:t>
      </w:r>
    </w:p>
    <w:p w14:paraId="177B2644" w14:textId="77777777" w:rsidR="00E13D0D" w:rsidRPr="002326FF" w:rsidRDefault="00E13D0D" w:rsidP="00E13D0D">
      <w:pPr>
        <w:pStyle w:val="pdq2pgselectionanchorcontainer"/>
        <w:spacing w:line="480" w:lineRule="auto"/>
        <w:ind w:firstLine="720"/>
        <w:jc w:val="both"/>
        <w:rPr>
          <w:rFonts w:ascii="Arial" w:eastAsiaTheme="minorEastAsia" w:hAnsi="Arial" w:cs="Arial"/>
          <w:lang w:val="es-VE" w:eastAsia="es-ES"/>
        </w:rPr>
      </w:pPr>
      <w:r w:rsidRPr="002326FF">
        <w:rPr>
          <w:rFonts w:ascii="Arial" w:eastAsiaTheme="minorEastAsia" w:hAnsi="Arial" w:cs="Arial"/>
          <w:lang w:val="es-VE" w:eastAsia="es-ES"/>
        </w:rPr>
        <w:t>Las tareas del futuro son identificar y seguir fortaleciendo la vigilancia social ciudadanía y el entrelazado de la justicia indígena y la administración pública. El ecofeminismo y sus pedagogías, en el momento de politizar el cuidado, ofrecen la ruta más legítima para garantizar la salud de los ecosistemas en este siglo XXI.</w:t>
      </w:r>
    </w:p>
    <w:p w14:paraId="6A77C68F" w14:textId="77777777" w:rsidR="00E13D0D" w:rsidRPr="002326FF" w:rsidRDefault="00E13D0D" w:rsidP="00E13D0D">
      <w:pPr>
        <w:pStyle w:val="pdq2pgselectionanchorcontainer"/>
        <w:spacing w:line="480" w:lineRule="auto"/>
        <w:ind w:firstLine="720"/>
        <w:jc w:val="both"/>
        <w:rPr>
          <w:rFonts w:ascii="Arial" w:eastAsiaTheme="minorEastAsia" w:hAnsi="Arial" w:cs="Arial"/>
          <w:lang w:val="es-VE" w:eastAsia="es-ES"/>
        </w:rPr>
      </w:pPr>
      <w:r w:rsidRPr="002326FF">
        <w:rPr>
          <w:rFonts w:ascii="Arial" w:eastAsiaTheme="minorEastAsia" w:hAnsi="Arial" w:cs="Arial"/>
          <w:lang w:val="es-VE" w:eastAsia="es-ES"/>
        </w:rPr>
        <w:t>Las enseñanzas centrales para el Ecuador y América Latina son:</w:t>
      </w:r>
    </w:p>
    <w:p w14:paraId="10093D36" w14:textId="77777777" w:rsidR="00E13D0D" w:rsidRPr="002326FF" w:rsidRDefault="00E13D0D" w:rsidP="00E13D0D">
      <w:pPr>
        <w:pStyle w:val="pdq2pgselectionanchorcontainer"/>
        <w:spacing w:line="480" w:lineRule="auto"/>
        <w:ind w:firstLine="720"/>
        <w:jc w:val="both"/>
        <w:rPr>
          <w:rFonts w:ascii="Arial" w:eastAsiaTheme="minorEastAsia" w:hAnsi="Arial" w:cs="Arial"/>
          <w:lang w:val="es-VE" w:eastAsia="es-ES"/>
        </w:rPr>
      </w:pPr>
      <w:r w:rsidRPr="002326FF">
        <w:rPr>
          <w:rFonts w:ascii="Arial" w:eastAsiaTheme="minorEastAsia" w:hAnsi="Arial" w:cs="Arial"/>
          <w:lang w:val="es-VE" w:eastAsia="es-ES"/>
        </w:rPr>
        <w:t>1.</w:t>
      </w:r>
      <w:r w:rsidRPr="002326FF">
        <w:rPr>
          <w:rFonts w:ascii="Arial" w:eastAsiaTheme="minorEastAsia" w:hAnsi="Arial" w:cs="Arial"/>
          <w:lang w:val="es-VE" w:eastAsia="es-ES"/>
        </w:rPr>
        <w:tab/>
        <w:t>La legitimidad de las iniciativas comunitarias supera a la capacidad de respuesta de la administración pública para la gestión de recursos.</w:t>
      </w:r>
    </w:p>
    <w:p w14:paraId="0AF0C839" w14:textId="77777777" w:rsidR="00E13D0D" w:rsidRPr="002326FF" w:rsidRDefault="00E13D0D" w:rsidP="00E13D0D">
      <w:pPr>
        <w:pStyle w:val="pdq2pgselectionanchorcontainer"/>
        <w:spacing w:line="480" w:lineRule="auto"/>
        <w:ind w:firstLine="720"/>
        <w:jc w:val="both"/>
        <w:rPr>
          <w:rFonts w:ascii="Arial" w:eastAsiaTheme="minorEastAsia" w:hAnsi="Arial" w:cs="Arial"/>
          <w:lang w:val="es-VE" w:eastAsia="es-ES"/>
        </w:rPr>
      </w:pPr>
      <w:r w:rsidRPr="002326FF">
        <w:rPr>
          <w:rFonts w:ascii="Arial" w:eastAsiaTheme="minorEastAsia" w:hAnsi="Arial" w:cs="Arial"/>
          <w:lang w:val="es-VE" w:eastAsia="es-ES"/>
        </w:rPr>
        <w:t>2.</w:t>
      </w:r>
      <w:r w:rsidRPr="002326FF">
        <w:rPr>
          <w:rFonts w:ascii="Arial" w:eastAsiaTheme="minorEastAsia" w:hAnsi="Arial" w:cs="Arial"/>
          <w:lang w:val="es-VE" w:eastAsia="es-ES"/>
        </w:rPr>
        <w:tab/>
        <w:t>La garantía de los derechos a la naturaleza es inseparable de los derechos colectivos territoriales.</w:t>
      </w:r>
    </w:p>
    <w:p w14:paraId="39C7E0B0" w14:textId="32AB53E1" w:rsidR="00B964BE" w:rsidRPr="00E35D69" w:rsidRDefault="00B964BE" w:rsidP="00E35D69">
      <w:pPr>
        <w:pStyle w:val="pdq2pgselectionanchorcontainer"/>
        <w:spacing w:line="480" w:lineRule="auto"/>
        <w:ind w:firstLine="720"/>
        <w:jc w:val="both"/>
        <w:rPr>
          <w:rFonts w:ascii="Arial" w:hAnsi="Arial" w:cs="Arial"/>
        </w:rPr>
      </w:pPr>
      <w:r w:rsidRPr="002326FF">
        <w:rPr>
          <w:rFonts w:ascii="Arial" w:hAnsi="Arial" w:cs="Arial"/>
          <w:lang w:val="es-VE" w:eastAsia="es-ES"/>
        </w:rPr>
        <w:t>La gestión hídrica debe basarse en pedagogías comunitarias ecofeministas donde el agua sea entendida como bien común y no como recurso mercantilizable.</w:t>
      </w:r>
    </w:p>
    <w:p w14:paraId="6A59BA7B" w14:textId="34897BEA" w:rsidR="00EB0F22" w:rsidRPr="002326FF" w:rsidRDefault="00EB0F22" w:rsidP="00F93930">
      <w:pPr>
        <w:spacing w:before="100" w:beforeAutospacing="1" w:after="100" w:afterAutospacing="1" w:line="480" w:lineRule="auto"/>
        <w:ind w:firstLine="720"/>
        <w:jc w:val="both"/>
        <w:outlineLvl w:val="1"/>
        <w:rPr>
          <w:rFonts w:eastAsia="Times New Roman"/>
          <w:b/>
          <w:bCs/>
          <w:sz w:val="24"/>
          <w:szCs w:val="24"/>
          <w:lang w:val="es-VE" w:eastAsia="es-ES"/>
        </w:rPr>
      </w:pPr>
      <w:r w:rsidRPr="002326FF">
        <w:rPr>
          <w:rFonts w:eastAsia="Times New Roman"/>
          <w:b/>
          <w:bCs/>
          <w:sz w:val="24"/>
          <w:szCs w:val="24"/>
          <w:lang w:val="es-VE" w:eastAsia="es-ES"/>
        </w:rPr>
        <w:t>PALA</w:t>
      </w:r>
      <w:r w:rsidR="00A12B19" w:rsidRPr="002326FF">
        <w:rPr>
          <w:rFonts w:eastAsia="Times New Roman"/>
          <w:b/>
          <w:bCs/>
          <w:sz w:val="24"/>
          <w:szCs w:val="24"/>
          <w:lang w:val="es-VE" w:eastAsia="es-ES"/>
        </w:rPr>
        <w:t>B</w:t>
      </w:r>
      <w:r w:rsidRPr="002326FF">
        <w:rPr>
          <w:rFonts w:eastAsia="Times New Roman"/>
          <w:b/>
          <w:bCs/>
          <w:sz w:val="24"/>
          <w:szCs w:val="24"/>
          <w:lang w:val="es-VE" w:eastAsia="es-ES"/>
        </w:rPr>
        <w:t>RAS-</w:t>
      </w:r>
      <w:r w:rsidR="00BA4EC2" w:rsidRPr="002326FF">
        <w:rPr>
          <w:rFonts w:eastAsia="Times New Roman"/>
          <w:b/>
          <w:bCs/>
          <w:sz w:val="24"/>
          <w:szCs w:val="24"/>
          <w:lang w:val="es-VE" w:eastAsia="es-ES"/>
        </w:rPr>
        <w:t xml:space="preserve"> </w:t>
      </w:r>
      <w:r w:rsidRPr="002326FF">
        <w:rPr>
          <w:rFonts w:eastAsia="Times New Roman"/>
          <w:b/>
          <w:bCs/>
          <w:sz w:val="24"/>
          <w:szCs w:val="24"/>
          <w:lang w:val="es-VE" w:eastAsia="es-ES"/>
        </w:rPr>
        <w:t>C</w:t>
      </w:r>
      <w:r w:rsidR="00A12B19" w:rsidRPr="002326FF">
        <w:rPr>
          <w:rFonts w:eastAsia="Times New Roman"/>
          <w:b/>
          <w:bCs/>
          <w:sz w:val="24"/>
          <w:szCs w:val="24"/>
          <w:lang w:val="es-VE" w:eastAsia="es-ES"/>
        </w:rPr>
        <w:t>L</w:t>
      </w:r>
      <w:r w:rsidRPr="002326FF">
        <w:rPr>
          <w:rFonts w:eastAsia="Times New Roman"/>
          <w:b/>
          <w:bCs/>
          <w:sz w:val="24"/>
          <w:szCs w:val="24"/>
          <w:lang w:val="es-VE" w:eastAsia="es-ES"/>
        </w:rPr>
        <w:t>AVE</w:t>
      </w:r>
    </w:p>
    <w:p w14:paraId="3856D2F4" w14:textId="3EC573FC" w:rsidR="009C2367" w:rsidRDefault="00EB0F22" w:rsidP="00E35D69">
      <w:pPr>
        <w:spacing w:before="100" w:beforeAutospacing="1" w:after="100" w:afterAutospacing="1" w:line="480" w:lineRule="auto"/>
        <w:ind w:firstLine="720"/>
        <w:jc w:val="both"/>
        <w:rPr>
          <w:rFonts w:eastAsiaTheme="minorEastAsia"/>
          <w:sz w:val="24"/>
          <w:szCs w:val="24"/>
          <w:lang w:val="es-VE" w:eastAsia="es-ES"/>
        </w:rPr>
      </w:pPr>
      <w:r w:rsidRPr="002326FF">
        <w:rPr>
          <w:rFonts w:eastAsiaTheme="minorEastAsia"/>
          <w:sz w:val="24"/>
          <w:szCs w:val="24"/>
          <w:lang w:val="es-VE" w:eastAsia="es-ES"/>
        </w:rPr>
        <w:t>Pueblo Kayambi; Reserva Hídrica; Ecofeminismo Comunitario; Gobernanza Hídrica; Derechos de la Naturaleza.</w:t>
      </w:r>
    </w:p>
    <w:p w14:paraId="27F8A7BB" w14:textId="77777777" w:rsidR="00E35D69" w:rsidRDefault="00E35D69" w:rsidP="00E35D69">
      <w:pPr>
        <w:spacing w:before="100" w:beforeAutospacing="1" w:after="100" w:afterAutospacing="1" w:line="480" w:lineRule="auto"/>
        <w:ind w:firstLine="720"/>
        <w:jc w:val="both"/>
        <w:rPr>
          <w:rFonts w:eastAsiaTheme="minorEastAsia"/>
          <w:sz w:val="24"/>
          <w:szCs w:val="24"/>
          <w:lang w:val="es-VE" w:eastAsia="es-ES"/>
        </w:rPr>
      </w:pPr>
    </w:p>
    <w:p w14:paraId="135C9C63" w14:textId="77777777" w:rsidR="00E35D69" w:rsidRPr="00E35D69" w:rsidRDefault="00E35D69" w:rsidP="00E35D69">
      <w:pPr>
        <w:spacing w:before="100" w:beforeAutospacing="1" w:after="100" w:afterAutospacing="1" w:line="480" w:lineRule="auto"/>
        <w:ind w:firstLine="720"/>
        <w:jc w:val="both"/>
        <w:rPr>
          <w:rFonts w:eastAsiaTheme="minorEastAsia"/>
          <w:sz w:val="24"/>
          <w:szCs w:val="24"/>
          <w:lang w:val="es-VE" w:eastAsia="es-ES"/>
        </w:rPr>
      </w:pPr>
    </w:p>
    <w:p w14:paraId="75E7B560" w14:textId="77777777" w:rsidR="009C2367" w:rsidRPr="002326FF" w:rsidRDefault="00CC2C81" w:rsidP="00F93930">
      <w:pPr>
        <w:keepLines/>
        <w:widowControl w:val="0"/>
        <w:spacing w:line="480" w:lineRule="auto"/>
        <w:rPr>
          <w:sz w:val="24"/>
          <w:szCs w:val="24"/>
          <w:lang w:val="es-ES"/>
        </w:rPr>
      </w:pPr>
      <w:r w:rsidRPr="002326FF">
        <w:rPr>
          <w:b/>
          <w:bCs/>
          <w:sz w:val="24"/>
          <w:szCs w:val="24"/>
          <w:lang w:val="es-ES"/>
        </w:rPr>
        <w:lastRenderedPageBreak/>
        <w:t>REFERÊNCIAS</w:t>
      </w:r>
      <w:r w:rsidRPr="002326FF">
        <w:rPr>
          <w:sz w:val="24"/>
          <w:szCs w:val="24"/>
          <w:lang w:val="es-ES"/>
        </w:rPr>
        <w:t xml:space="preserve"> </w:t>
      </w:r>
    </w:p>
    <w:p w14:paraId="541DD789" w14:textId="77777777" w:rsidR="00DC491C" w:rsidRPr="002326FF" w:rsidRDefault="00DC491C" w:rsidP="00F93930">
      <w:pPr>
        <w:keepLines/>
        <w:widowControl w:val="0"/>
        <w:spacing w:line="480" w:lineRule="auto"/>
        <w:rPr>
          <w:sz w:val="24"/>
          <w:szCs w:val="24"/>
          <w:lang w:val="es-ES"/>
        </w:rPr>
      </w:pPr>
    </w:p>
    <w:p w14:paraId="0E968690"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Aguilar, V. A. (2026). </w:t>
      </w:r>
      <w:r w:rsidRPr="002326FF">
        <w:rPr>
          <w:rFonts w:eastAsia="Times New Roman"/>
          <w:i/>
          <w:iCs/>
          <w:sz w:val="24"/>
          <w:szCs w:val="24"/>
          <w:lang w:val="es-VE" w:eastAsia="es-ES"/>
        </w:rPr>
        <w:t>Declaratoria de Reserva Hídrica en la Jurisdicción Territorial del Pueblo Kayambi</w:t>
      </w:r>
      <w:r w:rsidRPr="002326FF">
        <w:rPr>
          <w:rFonts w:eastAsia="Times New Roman"/>
          <w:sz w:val="24"/>
          <w:szCs w:val="24"/>
          <w:lang w:val="es-VE" w:eastAsia="es-ES"/>
        </w:rPr>
        <w:t>. Conversatório 11.</w:t>
      </w:r>
    </w:p>
    <w:p w14:paraId="3FB4EDB2"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Barreto-Paico, J. A. (2025). Manejo sostenible del recurso hídrico en América Latina: una revisión sistemática. </w:t>
      </w:r>
      <w:r w:rsidRPr="002326FF">
        <w:rPr>
          <w:rFonts w:eastAsia="Times New Roman"/>
          <w:i/>
          <w:iCs/>
          <w:sz w:val="24"/>
          <w:szCs w:val="24"/>
          <w:lang w:val="es-VE" w:eastAsia="es-ES"/>
        </w:rPr>
        <w:t>Revista Minerva</w:t>
      </w:r>
      <w:r w:rsidRPr="002326FF">
        <w:rPr>
          <w:rFonts w:eastAsia="Times New Roman"/>
          <w:sz w:val="24"/>
          <w:szCs w:val="24"/>
          <w:lang w:val="es-VE" w:eastAsia="es-ES"/>
        </w:rPr>
        <w:t xml:space="preserve">, 6(esp), e256. </w:t>
      </w:r>
      <w:hyperlink r:id="rId7" w:history="1">
        <w:r w:rsidRPr="002326FF">
          <w:rPr>
            <w:rFonts w:eastAsia="Times New Roman"/>
            <w:color w:val="0000FF"/>
            <w:sz w:val="24"/>
            <w:szCs w:val="24"/>
            <w:u w:val="single"/>
            <w:lang w:val="es-VE" w:eastAsia="es-ES"/>
          </w:rPr>
          <w:t>https://doi.org/10.47460/minerva.v6isp.256</w:t>
        </w:r>
      </w:hyperlink>
    </w:p>
    <w:p w14:paraId="1B0FA606"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Brambilla Serra, D. M. (2025). Gestión de riesgos por inundaciones en Ecuador. </w:t>
      </w:r>
      <w:r w:rsidRPr="002326FF">
        <w:rPr>
          <w:rFonts w:eastAsia="Times New Roman"/>
          <w:i/>
          <w:iCs/>
          <w:sz w:val="24"/>
          <w:szCs w:val="24"/>
          <w:lang w:val="es-VE" w:eastAsia="es-ES"/>
        </w:rPr>
        <w:t>Aula Virtual</w:t>
      </w:r>
      <w:r w:rsidRPr="002326FF">
        <w:rPr>
          <w:rFonts w:eastAsia="Times New Roman"/>
          <w:sz w:val="24"/>
          <w:szCs w:val="24"/>
          <w:lang w:val="es-VE" w:eastAsia="es-ES"/>
        </w:rPr>
        <w:t xml:space="preserve">, 6(13), </w:t>
      </w:r>
      <w:hyperlink r:id="rId8" w:history="1">
        <w:r w:rsidRPr="002326FF">
          <w:rPr>
            <w:rFonts w:eastAsia="Times New Roman"/>
            <w:color w:val="0000FF"/>
            <w:sz w:val="24"/>
            <w:szCs w:val="24"/>
            <w:u w:val="single"/>
            <w:lang w:val="es-VE" w:eastAsia="es-ES"/>
          </w:rPr>
          <w:t>https://doi.org/10.5281/zenodo.16273110</w:t>
        </w:r>
      </w:hyperlink>
    </w:p>
    <w:p w14:paraId="4260FE49"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Castro, N., &amp; Rajadel, O. (2021). Otra cara de la problemática del agua y el cambio climático; dos realidades sinérgicas yuxtapuestas. </w:t>
      </w:r>
      <w:r w:rsidRPr="002326FF">
        <w:rPr>
          <w:rFonts w:eastAsia="Times New Roman"/>
          <w:i/>
          <w:iCs/>
          <w:sz w:val="24"/>
          <w:szCs w:val="24"/>
          <w:lang w:val="es-VE" w:eastAsia="es-ES"/>
        </w:rPr>
        <w:t>Revista Universidad y Sociedad</w:t>
      </w:r>
      <w:r w:rsidRPr="002326FF">
        <w:rPr>
          <w:rFonts w:eastAsia="Times New Roman"/>
          <w:sz w:val="24"/>
          <w:szCs w:val="24"/>
          <w:lang w:val="es-VE" w:eastAsia="es-ES"/>
        </w:rPr>
        <w:t>, 13(4), 351-360.</w:t>
      </w:r>
    </w:p>
    <w:p w14:paraId="1E0802A6"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Emran, M. G. I., Barma, R., Khan, A. H., &amp; Roy, M. (2021). Reasons behind the water crisis and its potential health outcomes. </w:t>
      </w:r>
      <w:r w:rsidRPr="002326FF">
        <w:rPr>
          <w:rFonts w:eastAsia="Times New Roman"/>
          <w:i/>
          <w:iCs/>
          <w:sz w:val="24"/>
          <w:szCs w:val="24"/>
          <w:lang w:val="es-VE" w:eastAsia="es-ES"/>
        </w:rPr>
        <w:t>European Journal of Development Studies</w:t>
      </w:r>
      <w:r w:rsidRPr="002326FF">
        <w:rPr>
          <w:rFonts w:eastAsia="Times New Roman"/>
          <w:sz w:val="24"/>
          <w:szCs w:val="24"/>
          <w:lang w:val="es-VE" w:eastAsia="es-ES"/>
        </w:rPr>
        <w:t>, vol. X, no. Y, pp. 1-10. doi: 10.13140/RG.2.2.34846.31043</w:t>
      </w:r>
    </w:p>
    <w:p w14:paraId="345A62C3"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Mariño Tenio, B. R., Cavero Torres, J. J., &amp; Cajavilca Lagos, W. O. (2025). Políticas públicas sobre la calidad del agua: una revisión sistemática. </w:t>
      </w:r>
      <w:r w:rsidRPr="002326FF">
        <w:rPr>
          <w:rFonts w:eastAsia="Times New Roman"/>
          <w:i/>
          <w:iCs/>
          <w:sz w:val="24"/>
          <w:szCs w:val="24"/>
          <w:lang w:val="es-VE" w:eastAsia="es-ES"/>
        </w:rPr>
        <w:t>Revista InveCom</w:t>
      </w:r>
      <w:r w:rsidRPr="002326FF">
        <w:rPr>
          <w:rFonts w:eastAsia="Times New Roman"/>
          <w:sz w:val="24"/>
          <w:szCs w:val="24"/>
          <w:lang w:val="es-VE" w:eastAsia="es-ES"/>
        </w:rPr>
        <w:t xml:space="preserve">, 5(3). </w:t>
      </w:r>
      <w:hyperlink r:id="rId9" w:history="1">
        <w:r w:rsidRPr="002326FF">
          <w:rPr>
            <w:rFonts w:eastAsia="Times New Roman"/>
            <w:color w:val="0000FF"/>
            <w:sz w:val="24"/>
            <w:szCs w:val="24"/>
            <w:u w:val="single"/>
            <w:lang w:val="es-VE" w:eastAsia="es-ES"/>
          </w:rPr>
          <w:t>https://doi.org/10.5281/zenodo.14502130</w:t>
        </w:r>
      </w:hyperlink>
    </w:p>
    <w:p w14:paraId="0A8B9F1F"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Palomino, E. (2025). Gobernanza hídrica y gestión social de los conflictos hídricos en América Latina: un análisis crítico. </w:t>
      </w:r>
      <w:r w:rsidRPr="002326FF">
        <w:rPr>
          <w:rFonts w:eastAsia="Times New Roman"/>
          <w:i/>
          <w:iCs/>
          <w:sz w:val="24"/>
          <w:szCs w:val="24"/>
          <w:lang w:val="es-VE" w:eastAsia="es-ES"/>
        </w:rPr>
        <w:t>Revista Espacios</w:t>
      </w:r>
      <w:r w:rsidRPr="002326FF">
        <w:rPr>
          <w:rFonts w:eastAsia="Times New Roman"/>
          <w:sz w:val="24"/>
          <w:szCs w:val="24"/>
          <w:lang w:val="es-VE" w:eastAsia="es-ES"/>
        </w:rPr>
        <w:t xml:space="preserve">, 46(5), 26. </w:t>
      </w:r>
      <w:hyperlink r:id="rId10" w:history="1">
        <w:r w:rsidRPr="002326FF">
          <w:rPr>
            <w:rFonts w:eastAsia="Times New Roman"/>
            <w:color w:val="0000FF"/>
            <w:sz w:val="24"/>
            <w:szCs w:val="24"/>
            <w:u w:val="single"/>
            <w:lang w:val="es-VE" w:eastAsia="es-ES"/>
          </w:rPr>
          <w:t>https://doi.org/10.48082/espacios-a25v46n05p26</w:t>
        </w:r>
      </w:hyperlink>
    </w:p>
    <w:p w14:paraId="2964184B" w14:textId="77777777" w:rsidR="002F18A5" w:rsidRPr="002326FF" w:rsidRDefault="002F18A5" w:rsidP="00F93930">
      <w:pPr>
        <w:numPr>
          <w:ilvl w:val="0"/>
          <w:numId w:val="2"/>
        </w:numPr>
        <w:spacing w:before="100" w:beforeAutospacing="1" w:after="100" w:afterAutospacing="1" w:line="480" w:lineRule="auto"/>
        <w:ind w:firstLine="0"/>
        <w:jc w:val="both"/>
        <w:rPr>
          <w:rFonts w:eastAsia="Times New Roman"/>
          <w:sz w:val="24"/>
          <w:szCs w:val="24"/>
          <w:lang w:val="es-VE" w:eastAsia="es-ES"/>
        </w:rPr>
      </w:pPr>
      <w:r w:rsidRPr="002326FF">
        <w:rPr>
          <w:rFonts w:eastAsia="Times New Roman"/>
          <w:sz w:val="24"/>
          <w:szCs w:val="24"/>
          <w:lang w:val="es-VE" w:eastAsia="es-ES"/>
        </w:rPr>
        <w:t xml:space="preserve">Secretaría Nacional del Agua (SENAGUA). (2019). </w:t>
      </w:r>
      <w:r w:rsidRPr="002326FF">
        <w:rPr>
          <w:rFonts w:eastAsia="Times New Roman"/>
          <w:i/>
          <w:iCs/>
          <w:sz w:val="24"/>
          <w:szCs w:val="24"/>
          <w:lang w:val="es-VE" w:eastAsia="es-ES"/>
        </w:rPr>
        <w:t>Acuerdo N.º 2018-0259: Área de Protección Hídrica del Pueblo Kayambi</w:t>
      </w:r>
      <w:r w:rsidRPr="002326FF">
        <w:rPr>
          <w:rFonts w:eastAsia="Times New Roman"/>
          <w:sz w:val="24"/>
          <w:szCs w:val="24"/>
          <w:lang w:val="es-VE" w:eastAsia="es-ES"/>
        </w:rPr>
        <w:t>. Registro Oficial N.º 408.</w:t>
      </w:r>
    </w:p>
    <w:p w14:paraId="55A89C6F" w14:textId="7C281E25" w:rsidR="009C2367" w:rsidRPr="002326FF" w:rsidRDefault="009C2367" w:rsidP="00F93930">
      <w:pPr>
        <w:spacing w:after="200" w:line="480" w:lineRule="auto"/>
        <w:jc w:val="both"/>
        <w:rPr>
          <w:b/>
          <w:bCs/>
          <w:sz w:val="24"/>
          <w:szCs w:val="24"/>
          <w:lang w:val="es-ES"/>
        </w:rPr>
      </w:pPr>
    </w:p>
    <w:p w14:paraId="2A197983" w14:textId="2E576B09" w:rsidR="004C5A63" w:rsidRPr="002326FF" w:rsidRDefault="004C5A63" w:rsidP="00F93930">
      <w:pPr>
        <w:spacing w:after="200" w:line="480" w:lineRule="auto"/>
        <w:jc w:val="both"/>
        <w:rPr>
          <w:b/>
          <w:bCs/>
          <w:sz w:val="24"/>
          <w:szCs w:val="24"/>
          <w:lang w:val="es-ES"/>
        </w:rPr>
      </w:pPr>
    </w:p>
    <w:p w14:paraId="6AB206F1" w14:textId="4AC1411D" w:rsidR="004C5A63" w:rsidRPr="002326FF" w:rsidRDefault="004C5A63" w:rsidP="00F93930">
      <w:pPr>
        <w:spacing w:after="200" w:line="480" w:lineRule="auto"/>
        <w:jc w:val="both"/>
        <w:rPr>
          <w:b/>
          <w:bCs/>
          <w:sz w:val="24"/>
          <w:szCs w:val="24"/>
          <w:lang w:val="es-ES"/>
        </w:rPr>
      </w:pPr>
    </w:p>
    <w:p w14:paraId="72EBCF26" w14:textId="5B76C7EF" w:rsidR="004C5A63" w:rsidRPr="002326FF" w:rsidRDefault="004C5A63" w:rsidP="00F93930">
      <w:pPr>
        <w:spacing w:after="200" w:line="480" w:lineRule="auto"/>
        <w:jc w:val="both"/>
        <w:rPr>
          <w:b/>
          <w:bCs/>
          <w:sz w:val="24"/>
          <w:szCs w:val="24"/>
          <w:lang w:val="es-ES"/>
        </w:rPr>
      </w:pPr>
    </w:p>
    <w:p w14:paraId="49AC2002" w14:textId="2C27B34F" w:rsidR="004C5A63" w:rsidRPr="002326FF" w:rsidRDefault="004C5A63" w:rsidP="00F93930">
      <w:pPr>
        <w:pStyle w:val="NormalWeb"/>
        <w:spacing w:line="480" w:lineRule="auto"/>
        <w:jc w:val="both"/>
        <w:rPr>
          <w:rFonts w:ascii="Arial" w:hAnsi="Arial" w:cs="Arial"/>
          <w:b/>
        </w:rPr>
      </w:pPr>
      <w:r w:rsidRPr="002326FF">
        <w:rPr>
          <w:rStyle w:val="Forte"/>
          <w:rFonts w:ascii="Arial" w:hAnsi="Arial" w:cs="Arial"/>
          <w:b w:val="0"/>
        </w:rPr>
        <w:t>"Defender el agua es defender la vida; protegerla es honrar a la Pachamama, preservar la memoria de nuestros pueblos y asumir la responsabilidad con las generaciones que vendrán."</w:t>
      </w:r>
      <w:r w:rsidRPr="002326FF">
        <w:rPr>
          <w:rFonts w:ascii="Arial" w:hAnsi="Arial" w:cs="Arial"/>
          <w:b/>
        </w:rPr>
        <w:br/>
      </w:r>
      <w:r w:rsidRPr="002326FF">
        <w:rPr>
          <w:rStyle w:val="Forte"/>
          <w:rFonts w:ascii="Arial" w:hAnsi="Arial" w:cs="Arial"/>
          <w:b w:val="0"/>
        </w:rPr>
        <w:t>Verónica Aguilar, 2026.</w:t>
      </w:r>
    </w:p>
    <w:p w14:paraId="76E101A6" w14:textId="77777777" w:rsidR="004C5A63" w:rsidRPr="002326FF" w:rsidRDefault="004C5A63" w:rsidP="00F93930">
      <w:pPr>
        <w:spacing w:after="200" w:line="480" w:lineRule="auto"/>
        <w:jc w:val="both"/>
        <w:rPr>
          <w:b/>
          <w:bCs/>
          <w:sz w:val="24"/>
          <w:szCs w:val="24"/>
          <w:lang w:val="es-ES"/>
        </w:rPr>
      </w:pPr>
    </w:p>
    <w:sectPr w:rsidR="004C5A63" w:rsidRPr="002326FF">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DF107D" w14:textId="77777777" w:rsidR="00856BD1" w:rsidRDefault="00856BD1">
      <w:pPr>
        <w:spacing w:line="240" w:lineRule="auto"/>
      </w:pPr>
      <w:r>
        <w:separator/>
      </w:r>
    </w:p>
  </w:endnote>
  <w:endnote w:type="continuationSeparator" w:id="0">
    <w:p w14:paraId="1E1951F6" w14:textId="77777777" w:rsidR="00856BD1" w:rsidRDefault="00856B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7FC12F-2B9D-D544-B3CF-92B87F741297}"/>
  </w:font>
  <w:font w:name="Times New Roman">
    <w:panose1 w:val="02020603050405020304"/>
    <w:charset w:val="00"/>
    <w:family w:val="roman"/>
    <w:pitch w:val="variable"/>
    <w:sig w:usb0="E0002EFF" w:usb1="C000785B" w:usb2="00000009" w:usb3="00000000" w:csb0="000001FF" w:csb1="00000000"/>
    <w:embedRegular r:id="rId2" w:fontKey="{3AF102F9-0101-834A-902B-89A3120DA290}"/>
    <w:embedBold r:id="rId3" w:fontKey="{FDDDE665-E779-3F40-832C-9133993C72E5}"/>
    <w:embedItalic r:id="rId4" w:fontKey="{193BD1EB-C4A2-7943-BD44-5CA378EB3BD8}"/>
  </w:font>
  <w:font w:name="Courier New">
    <w:panose1 w:val="02070309020205020404"/>
    <w:charset w:val="00"/>
    <w:family w:val="modern"/>
    <w:pitch w:val="fixed"/>
    <w:sig w:usb0="E0002AFF" w:usb1="C0007843" w:usb2="00000009" w:usb3="00000000" w:csb0="000001FF" w:csb1="00000000"/>
    <w:embedRegular r:id="rId5" w:fontKey="{18B546D0-9426-8C43-BACB-8697885EAF71}"/>
  </w:font>
  <w:font w:name="Wingdings">
    <w:panose1 w:val="05000000000000000000"/>
    <w:charset w:val="02"/>
    <w:family w:val="decorative"/>
    <w:pitch w:val="variable"/>
    <w:sig w:usb0="00000003" w:usb1="10000000" w:usb2="00000000" w:usb3="00000000" w:csb0="80000001" w:csb1="00000000"/>
    <w:embedRegular r:id="rId6" w:fontKey="{908A398F-EAA0-FE44-A15A-60DE9B9DBBA0}"/>
  </w:font>
  <w:font w:name="Arial">
    <w:panose1 w:val="020B0604020202020204"/>
    <w:charset w:val="00"/>
    <w:family w:val="swiss"/>
    <w:pitch w:val="variable"/>
    <w:sig w:usb0="E0002EFF" w:usb1="C000785B" w:usb2="00000009" w:usb3="00000000" w:csb0="000001FF" w:csb1="00000000"/>
    <w:embedRegular r:id="rId7" w:fontKey="{AA357E4E-F6CD-C246-A206-4AF4A8B9CD7F}"/>
    <w:embedBold r:id="rId8" w:fontKey="{35702F4A-39D8-4249-974A-805F566B6755}"/>
    <w:embedItalic r:id="rId9" w:fontKey="{3EAAAB9A-58B1-5D48-B8B1-DFE2B6540077}"/>
  </w:font>
  <w:font w:name=".SFUI-Regular">
    <w:altName w:val="Arial"/>
    <w:panose1 w:val="020B0604020202020204"/>
    <w:charset w:val="00"/>
    <w:family w:val="roman"/>
    <w:pitch w:val="default"/>
  </w:font>
  <w:font w:name=".AppleSystemUIFont">
    <w:altName w:val="Times New Roman"/>
    <w:panose1 w:val="020B0604020202020204"/>
    <w:charset w:val="00"/>
    <w:family w:val="roman"/>
    <w:pitch w:val="default"/>
  </w:font>
  <w:font w:name=".SFUI-Semibold">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3" w:fontKey="{EFB2A84B-A9D6-ED43-9399-B0223BAF8D1D}"/>
  </w:font>
  <w:font w:name="Cambria">
    <w:panose1 w:val="02040503050406030204"/>
    <w:charset w:val="00"/>
    <w:family w:val="roman"/>
    <w:pitch w:val="variable"/>
    <w:sig w:usb0="E00002FF" w:usb1="400004FF" w:usb2="00000000" w:usb3="00000000" w:csb0="0000019F" w:csb1="00000000"/>
    <w:embedRegular r:id="rId14" w:fontKey="{07AD81D3-DAD1-DF45-9256-5758C33FEE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C2F95" w14:textId="77777777" w:rsidR="009C2367" w:rsidRDefault="00CC2C81">
    <w:pPr>
      <w:jc w:val="center"/>
    </w:pPr>
    <w:r>
      <w:fldChar w:fldCharType="begin"/>
    </w:r>
    <w:r>
      <w:instrText>PAGE</w:instrText>
    </w:r>
    <w:r>
      <w:fldChar w:fldCharType="separate"/>
    </w:r>
    <w:r w:rsidR="00DC49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A141E" w14:textId="77777777" w:rsidR="00856BD1" w:rsidRDefault="00856BD1">
      <w:pPr>
        <w:spacing w:line="240" w:lineRule="auto"/>
      </w:pPr>
      <w:r>
        <w:separator/>
      </w:r>
    </w:p>
  </w:footnote>
  <w:footnote w:type="continuationSeparator" w:id="0">
    <w:p w14:paraId="7A856693" w14:textId="77777777" w:rsidR="00856BD1" w:rsidRDefault="00856B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6BFCEC" w14:textId="77777777" w:rsidR="009C2367" w:rsidRDefault="00CC2C81">
    <w:pPr>
      <w:jc w:val="right"/>
    </w:pPr>
    <w:r>
      <w:rPr>
        <w:noProof/>
      </w:rPr>
      <w:drawing>
        <wp:anchor distT="114300" distB="114300" distL="114300" distR="114300" simplePos="0" relativeHeight="251658240" behindDoc="1" locked="0" layoutInCell="1" hidden="0" allowOverlap="1" wp14:anchorId="661B903B" wp14:editId="4A79074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018A1C2" wp14:editId="6C025216">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FD2E3CB" w14:textId="77777777" w:rsidR="009C2367" w:rsidRDefault="009C2367">
    <w:pPr>
      <w:jc w:val="right"/>
    </w:pPr>
  </w:p>
  <w:p w14:paraId="1879B88B" w14:textId="77777777" w:rsidR="009C2367" w:rsidRDefault="009C2367">
    <w:pPr>
      <w:jc w:val="right"/>
    </w:pPr>
  </w:p>
  <w:p w14:paraId="10A95F27" w14:textId="77777777" w:rsidR="009C2367" w:rsidRDefault="00CC2C81">
    <w:r>
      <w:rPr>
        <w:noProof/>
      </w:rPr>
      <w:drawing>
        <wp:anchor distT="114300" distB="114300" distL="114300" distR="114300" simplePos="0" relativeHeight="251660288" behindDoc="1" locked="0" layoutInCell="1" hidden="0" allowOverlap="1" wp14:anchorId="30140231" wp14:editId="0AA4D05F">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109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F67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205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D31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8F71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423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750325">
    <w:abstractNumId w:val="3"/>
  </w:num>
  <w:num w:numId="2" w16cid:durableId="1378435912">
    <w:abstractNumId w:val="0"/>
  </w:num>
  <w:num w:numId="3" w16cid:durableId="14580824">
    <w:abstractNumId w:val="4"/>
  </w:num>
  <w:num w:numId="4" w16cid:durableId="960455062">
    <w:abstractNumId w:val="1"/>
  </w:num>
  <w:num w:numId="5" w16cid:durableId="1381171599">
    <w:abstractNumId w:val="5"/>
  </w:num>
  <w:num w:numId="6" w16cid:durableId="277997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367"/>
    <w:rsid w:val="00004643"/>
    <w:rsid w:val="0001291B"/>
    <w:rsid w:val="00066F69"/>
    <w:rsid w:val="00071726"/>
    <w:rsid w:val="000A66FB"/>
    <w:rsid w:val="000F2CA7"/>
    <w:rsid w:val="000F7AA6"/>
    <w:rsid w:val="001C722E"/>
    <w:rsid w:val="001D6FE5"/>
    <w:rsid w:val="002326FF"/>
    <w:rsid w:val="002731A1"/>
    <w:rsid w:val="00293883"/>
    <w:rsid w:val="002C1EA1"/>
    <w:rsid w:val="002E576C"/>
    <w:rsid w:val="002F18A5"/>
    <w:rsid w:val="002F2E58"/>
    <w:rsid w:val="0036466D"/>
    <w:rsid w:val="00377D50"/>
    <w:rsid w:val="00393C9D"/>
    <w:rsid w:val="003D5EA4"/>
    <w:rsid w:val="004A3562"/>
    <w:rsid w:val="004C0BAB"/>
    <w:rsid w:val="004C4765"/>
    <w:rsid w:val="004C5A63"/>
    <w:rsid w:val="004E6E05"/>
    <w:rsid w:val="00513106"/>
    <w:rsid w:val="00532E99"/>
    <w:rsid w:val="005A5C31"/>
    <w:rsid w:val="006024DC"/>
    <w:rsid w:val="00646DBD"/>
    <w:rsid w:val="00666130"/>
    <w:rsid w:val="0069673E"/>
    <w:rsid w:val="006D6CF9"/>
    <w:rsid w:val="006F5485"/>
    <w:rsid w:val="00740DC5"/>
    <w:rsid w:val="0074638C"/>
    <w:rsid w:val="00811479"/>
    <w:rsid w:val="0081263F"/>
    <w:rsid w:val="00842D4E"/>
    <w:rsid w:val="00856BD1"/>
    <w:rsid w:val="008B0D66"/>
    <w:rsid w:val="008F71F6"/>
    <w:rsid w:val="009B738B"/>
    <w:rsid w:val="009C2367"/>
    <w:rsid w:val="009F73F1"/>
    <w:rsid w:val="00A12B19"/>
    <w:rsid w:val="00A529B7"/>
    <w:rsid w:val="00A54242"/>
    <w:rsid w:val="00A61D9C"/>
    <w:rsid w:val="00A9100C"/>
    <w:rsid w:val="00AC76F0"/>
    <w:rsid w:val="00B70A86"/>
    <w:rsid w:val="00B80C9D"/>
    <w:rsid w:val="00B831CB"/>
    <w:rsid w:val="00B964BE"/>
    <w:rsid w:val="00B97239"/>
    <w:rsid w:val="00BA4EC2"/>
    <w:rsid w:val="00BA5FFE"/>
    <w:rsid w:val="00BE2482"/>
    <w:rsid w:val="00C323F7"/>
    <w:rsid w:val="00CA55D0"/>
    <w:rsid w:val="00CC2C81"/>
    <w:rsid w:val="00D06446"/>
    <w:rsid w:val="00D26232"/>
    <w:rsid w:val="00D74178"/>
    <w:rsid w:val="00D86EBD"/>
    <w:rsid w:val="00D91226"/>
    <w:rsid w:val="00DC491C"/>
    <w:rsid w:val="00E13D0D"/>
    <w:rsid w:val="00E35D69"/>
    <w:rsid w:val="00EB0F22"/>
    <w:rsid w:val="00EB2F9A"/>
    <w:rsid w:val="00EE026D"/>
    <w:rsid w:val="00F22DB6"/>
    <w:rsid w:val="00F32356"/>
    <w:rsid w:val="00F52CC5"/>
    <w:rsid w:val="00F93930"/>
    <w:rsid w:val="00F9565E"/>
    <w:rsid w:val="00FC1B98"/>
    <w:rsid w:val="00FE298B"/>
    <w:rsid w:val="00FE71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1471"/>
  <w15:docId w15:val="{2DBF6DE3-4574-E042-8E8D-27281FB6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link w:val="Ttulo3Ch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h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p1">
    <w:name w:val="p1"/>
    <w:basedOn w:val="Normal"/>
    <w:rsid w:val="008B0D66"/>
    <w:pPr>
      <w:spacing w:line="240" w:lineRule="auto"/>
    </w:pPr>
    <w:rPr>
      <w:rFonts w:ascii="Times New Roman" w:eastAsia="Times New Roman" w:hAnsi="Times New Roman" w:cs="Times New Roman"/>
      <w:color w:val="000000"/>
      <w:sz w:val="18"/>
      <w:szCs w:val="18"/>
    </w:rPr>
  </w:style>
  <w:style w:type="paragraph" w:customStyle="1" w:styleId="ds-markdown-paragraph">
    <w:name w:val="ds-markdown-paragraph"/>
    <w:basedOn w:val="Normal"/>
    <w:rsid w:val="00C323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4C5A63"/>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Forte">
    <w:name w:val="Strong"/>
    <w:basedOn w:val="Fontepargpadro"/>
    <w:uiPriority w:val="22"/>
    <w:qFormat/>
    <w:rsid w:val="004C5A63"/>
    <w:rPr>
      <w:b/>
      <w:bCs/>
    </w:rPr>
  </w:style>
  <w:style w:type="paragraph" w:styleId="NormalWeb">
    <w:name w:val="Normal (Web)"/>
    <w:basedOn w:val="Normal"/>
    <w:uiPriority w:val="99"/>
    <w:semiHidden/>
    <w:unhideWhenUsed/>
    <w:rsid w:val="004C5A63"/>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customStyle="1" w:styleId="Ttulo1Char">
    <w:name w:val="Título 1 Char"/>
    <w:basedOn w:val="Fontepargpadro"/>
    <w:link w:val="Ttulo1"/>
    <w:uiPriority w:val="9"/>
    <w:rsid w:val="00EB0F22"/>
    <w:rPr>
      <w:sz w:val="40"/>
      <w:szCs w:val="40"/>
    </w:rPr>
  </w:style>
  <w:style w:type="character" w:customStyle="1" w:styleId="Ttulo2Char">
    <w:name w:val="Título 2 Char"/>
    <w:basedOn w:val="Fontepargpadro"/>
    <w:link w:val="Ttulo2"/>
    <w:uiPriority w:val="9"/>
    <w:rsid w:val="00EB0F22"/>
    <w:rPr>
      <w:sz w:val="32"/>
      <w:szCs w:val="32"/>
    </w:rPr>
  </w:style>
  <w:style w:type="character" w:customStyle="1" w:styleId="Ttulo3Char">
    <w:name w:val="Título 3 Char"/>
    <w:basedOn w:val="Fontepargpadro"/>
    <w:link w:val="Ttulo3"/>
    <w:uiPriority w:val="9"/>
    <w:rsid w:val="00EB0F22"/>
    <w:rPr>
      <w:color w:val="434343"/>
      <w:sz w:val="28"/>
      <w:szCs w:val="28"/>
    </w:rPr>
  </w:style>
  <w:style w:type="character" w:styleId="nfase">
    <w:name w:val="Emphasis"/>
    <w:basedOn w:val="Fontepargpadro"/>
    <w:uiPriority w:val="20"/>
    <w:qFormat/>
    <w:rsid w:val="00EB0F22"/>
    <w:rPr>
      <w:i/>
      <w:iCs/>
    </w:rPr>
  </w:style>
  <w:style w:type="character" w:styleId="Hyperlink">
    <w:name w:val="Hyperlink"/>
    <w:basedOn w:val="Fontepargpadro"/>
    <w:uiPriority w:val="99"/>
    <w:semiHidden/>
    <w:unhideWhenUsed/>
    <w:rsid w:val="00EB0F22"/>
    <w:rPr>
      <w:color w:val="0000FF"/>
      <w:u w:val="single"/>
    </w:rPr>
  </w:style>
  <w:style w:type="character" w:customStyle="1" w:styleId="s1">
    <w:name w:val="s1"/>
    <w:basedOn w:val="Fontepargpadro"/>
    <w:rsid w:val="002F18A5"/>
    <w:rPr>
      <w:rFonts w:ascii=".SFUI-Regular" w:hAnsi=".SFUI-Regular" w:hint="default"/>
      <w:b w:val="0"/>
      <w:bCs w:val="0"/>
      <w:i w:val="0"/>
      <w:iCs w:val="0"/>
      <w:sz w:val="26"/>
      <w:szCs w:val="26"/>
    </w:rPr>
  </w:style>
  <w:style w:type="paragraph" w:styleId="Cabealho">
    <w:name w:val="header"/>
    <w:basedOn w:val="Normal"/>
    <w:link w:val="CabealhoChar"/>
    <w:uiPriority w:val="99"/>
    <w:unhideWhenUsed/>
    <w:rsid w:val="006024DC"/>
    <w:pPr>
      <w:tabs>
        <w:tab w:val="center" w:pos="4252"/>
        <w:tab w:val="right" w:pos="8504"/>
      </w:tabs>
      <w:spacing w:line="240" w:lineRule="auto"/>
    </w:pPr>
  </w:style>
  <w:style w:type="character" w:customStyle="1" w:styleId="CabealhoChar">
    <w:name w:val="Cabeçalho Char"/>
    <w:basedOn w:val="Fontepargpadro"/>
    <w:link w:val="Cabealho"/>
    <w:uiPriority w:val="99"/>
    <w:rsid w:val="006024DC"/>
  </w:style>
  <w:style w:type="paragraph" w:styleId="Rodap">
    <w:name w:val="footer"/>
    <w:basedOn w:val="Normal"/>
    <w:link w:val="RodapChar"/>
    <w:uiPriority w:val="99"/>
    <w:unhideWhenUsed/>
    <w:rsid w:val="006024DC"/>
    <w:pPr>
      <w:tabs>
        <w:tab w:val="center" w:pos="4252"/>
        <w:tab w:val="right" w:pos="8504"/>
      </w:tabs>
      <w:spacing w:line="240" w:lineRule="auto"/>
    </w:pPr>
  </w:style>
  <w:style w:type="character" w:customStyle="1" w:styleId="RodapChar">
    <w:name w:val="Rodapé Char"/>
    <w:basedOn w:val="Fontepargpadro"/>
    <w:link w:val="Rodap"/>
    <w:uiPriority w:val="99"/>
    <w:rsid w:val="006024DC"/>
  </w:style>
  <w:style w:type="paragraph" w:customStyle="1" w:styleId="p2">
    <w:name w:val="p2"/>
    <w:basedOn w:val="Normal"/>
    <w:rsid w:val="002731A1"/>
    <w:pPr>
      <w:spacing w:before="200" w:line="240" w:lineRule="auto"/>
    </w:pPr>
    <w:rPr>
      <w:rFonts w:ascii=".AppleSystemUIFont" w:eastAsiaTheme="minorEastAsia" w:hAnsi=".AppleSystemUIFont" w:cs="Times New Roman"/>
      <w:color w:val="000000"/>
      <w:sz w:val="26"/>
      <w:szCs w:val="26"/>
      <w:lang w:val="es-VE" w:eastAsia="es-ES"/>
    </w:rPr>
  </w:style>
  <w:style w:type="character" w:customStyle="1" w:styleId="s2">
    <w:name w:val="s2"/>
    <w:basedOn w:val="Fontepargpadro"/>
    <w:rsid w:val="002731A1"/>
    <w:rPr>
      <w:rFonts w:ascii=".SFUI-Semibold" w:hAnsi=".SFUI-Semibold" w:hint="default"/>
      <w:b/>
      <w:bCs/>
      <w:i w:val="0"/>
      <w:iCs w:val="0"/>
      <w:sz w:val="26"/>
      <w:szCs w:val="26"/>
    </w:rPr>
  </w:style>
  <w:style w:type="character" w:customStyle="1" w:styleId="Ttulo4Char">
    <w:name w:val="Título 4 Char"/>
    <w:basedOn w:val="Fontepargpadro"/>
    <w:link w:val="Ttulo4"/>
    <w:uiPriority w:val="9"/>
    <w:rsid w:val="00BE2482"/>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627311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7460/minerva.v6isp.256"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48082/espacios-a25v46n05p26" TargetMode="External"/><Relationship Id="rId4" Type="http://schemas.openxmlformats.org/officeDocument/2006/relationships/webSettings" Target="webSettings.xml"/><Relationship Id="rId9" Type="http://schemas.openxmlformats.org/officeDocument/2006/relationships/hyperlink" Target="https://doi.org/10.5281/zenodo.1450213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1490</Words>
  <Characters>7929</Characters>
  <Application>Microsoft Office Word</Application>
  <DocSecurity>0</DocSecurity>
  <Lines>139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Larissa Da Silva Araujo</cp:lastModifiedBy>
  <cp:revision>3</cp:revision>
  <cp:lastPrinted>2026-08-12T19:43:00Z</cp:lastPrinted>
  <dcterms:created xsi:type="dcterms:W3CDTF">2026-08-14T15:11:00Z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912abf4e-55c1-49ac-a295-b31aa3980144</vt:lpwstr>
  </property>
</Properties>
</file>