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DB794" w14:textId="77777777" w:rsidR="0087573D" w:rsidRDefault="00541BC1">
      <w:pPr>
        <w:keepNext/>
        <w:spacing w:after="240" w:line="240" w:lineRule="auto"/>
        <w:jc w:val="center"/>
      </w:pPr>
      <w:r>
        <w:rPr>
          <w:b/>
        </w:rPr>
        <w:t>CONVERSATÓRIO 11 — CLIMA, GÊNERO E PEDAGOGIAS ECOFEMINISTAS COMUNITÁRIAS: CUIDADO, CURA E AFETO PARA TECER OUTRAS EDUCAÇÕES E OUTROS FUTUROS</w:t>
      </w:r>
    </w:p>
    <w:p w14:paraId="3A4DB795" w14:textId="77777777" w:rsidR="0087573D" w:rsidRDefault="00541BC1">
      <w:pPr>
        <w:keepNext/>
        <w:spacing w:after="240" w:line="240" w:lineRule="auto"/>
        <w:jc w:val="center"/>
      </w:pPr>
      <w:r>
        <w:rPr>
          <w:b/>
        </w:rPr>
        <w:t>Táticas de envolvimento e produção de conhecimento no Reisado de Figuras e Espadas de Genipapo</w:t>
      </w:r>
    </w:p>
    <w:p w14:paraId="3A4DB796" w14:textId="635E2F0E" w:rsidR="0087573D" w:rsidRPr="00B5026A" w:rsidRDefault="00541BC1" w:rsidP="00B5026A">
      <w:pPr>
        <w:keepNext/>
        <w:spacing w:after="360" w:line="240" w:lineRule="auto"/>
        <w:jc w:val="right"/>
      </w:pPr>
      <w:r>
        <w:t xml:space="preserve">RENAN LUIZ DE OLIVEIRA REIS, UNIVERSIDADE DO ESTADO DA BAHIA, </w:t>
      </w:r>
      <w:hyperlink r:id="rId6" w:history="1">
        <w:r w:rsidR="00B5026A" w:rsidRPr="00B5026A">
          <w:rPr>
            <w:rStyle w:val="Hyperlink"/>
            <w:color w:val="auto"/>
            <w:u w:val="none"/>
          </w:rPr>
          <w:t>TORNARSEMENTE@GMAIL.COM</w:t>
        </w:r>
      </w:hyperlink>
    </w:p>
    <w:p w14:paraId="1D4AE50F" w14:textId="75655267" w:rsidR="00B5026A" w:rsidRDefault="00B5026A" w:rsidP="00B5026A">
      <w:pPr>
        <w:keepNext/>
        <w:spacing w:after="360" w:line="240" w:lineRule="auto"/>
        <w:jc w:val="right"/>
      </w:pPr>
      <w:r>
        <w:t>LUCAS ALVES LEITE</w:t>
      </w:r>
      <w:r>
        <w:t>, UNIVERSIDADE DO ESTADO DA BAHIA, TORNARSEMENTE@GMAIL.COM</w:t>
      </w:r>
    </w:p>
    <w:p w14:paraId="36849FAE" w14:textId="77777777" w:rsidR="00B5026A" w:rsidRDefault="00B5026A">
      <w:pPr>
        <w:keepNext/>
        <w:spacing w:after="360" w:line="240" w:lineRule="auto"/>
        <w:jc w:val="right"/>
      </w:pPr>
    </w:p>
    <w:p w14:paraId="3A4DB797" w14:textId="77777777" w:rsidR="0087573D" w:rsidRDefault="00541BC1">
      <w:pPr>
        <w:keepNext/>
        <w:spacing w:after="240"/>
        <w:jc w:val="left"/>
      </w:pPr>
      <w:r>
        <w:rPr>
          <w:b/>
        </w:rPr>
        <w:t>RESUMO</w:t>
      </w:r>
    </w:p>
    <w:p w14:paraId="3A4DB798" w14:textId="77777777" w:rsidR="0087573D" w:rsidRDefault="00541BC1">
      <w:r>
        <w:t xml:space="preserve">Este ensaio teórico examina o Reisado de Figuras e Espadas realizado na comunidade rural de Genipapo, Saúde, Bahia, a partir dos corpos que o fazem acontecer e das relações pelas quais seus conhecimentos circulam. A questão de investigação indaga como gestos, vozes, ritmos, manejos e aproximações mobilizados na performance participam da aprendizagem, da transmissão de saberes e da continuidade da expressão cultural. O objetivo é analisar como esses corpos produzem conhecimento em relação com outros corpos, gerações e território, reconhecendo o que tais ações permitem formular acerca do envolvimento e do cuidado. A metodologia bibliográfica, qualitativa e interpretativa aproxima Lopes (2018), referência sobre o Reisado de Genipapo, de Gonzalez (2024), Martins (2021a; 2021b), Rufino (2019), Santos (2023) e </w:t>
      </w:r>
      <w:proofErr w:type="spellStart"/>
      <w:r>
        <w:t>Certeau</w:t>
      </w:r>
      <w:proofErr w:type="spellEnd"/>
      <w:r>
        <w:t xml:space="preserve"> (1994).</w:t>
      </w:r>
    </w:p>
    <w:p w14:paraId="3A4DB799" w14:textId="77777777" w:rsidR="0087573D" w:rsidRDefault="00541BC1">
      <w:r>
        <w:t xml:space="preserve">A escolha de “expressão cultural”, em lugar de “manifestação cultural”, mantém visíveis as pessoas que manejam espadas, assumem personagens e atribuem sentidos ao Reisado. Gonzalez (2024, p. 99-100) demonstra que populações </w:t>
      </w:r>
      <w:proofErr w:type="gramStart"/>
      <w:r>
        <w:t>afro-negras</w:t>
      </w:r>
      <w:proofErr w:type="gramEnd"/>
      <w:r>
        <w:t xml:space="preserve"> preservaram valores e recriaram formas de existência quando a ordem dominante admitia seus saberes como “brincadeiras de negros”. A investigação compreende a folclorização como visibilidade subordinada, pela qual formas culturais são celebradas enquanto sujeitos e conhecimentos permanecem desautorizados, especialmente quando experiências negras, indígenas e rurais são classificadas como antigas, infantis ou sem elaboração própria.</w:t>
      </w:r>
    </w:p>
    <w:p w14:paraId="3A4DB79A" w14:textId="77777777" w:rsidR="0087573D" w:rsidRDefault="00541BC1">
      <w:r>
        <w:t xml:space="preserve">Reconhecer essa assimetria exige compreender que o corpo produz, interpreta e transmite conhecimentos do Reisado. Martins (2021b, p. 130), ao formular a performance como </w:t>
      </w:r>
      <w:r>
        <w:lastRenderedPageBreak/>
        <w:t>instância na qual o corpo inscreve e recria a memória, demonstra que movimentos, gestos, danças, ritmos e cerimônias mantêm conhecimentos para além da escrita alfabética. A investigação assimila dessa formulação o canto, o manejo da espada, a escuta, a observação e a repetição como operações corporais de conhecimento, nas quais aprender envolve responder a outros participantes e transformar o saber recebido.</w:t>
      </w:r>
    </w:p>
    <w:p w14:paraId="3A4DB79B" w14:textId="77777777" w:rsidR="0087573D" w:rsidRDefault="00541BC1">
      <w:r>
        <w:t>Essa aprendizagem adquire densidade histórica porque a memória performada não reproduz um repertório imóvel. Martins (2021a, p. 32) descreve as culturas negras nas Américas como tecidos nos quais memórias orais africanas se cruzam com outros sistemas simbólicos, transformando e reatualizando falas e gestos. No Reisado de Genipapo, Lopes (2018, p. 67) identifica no “refazer cultural” uma reconfiguração que favorece o reconhecimento das novas gerações e fortalece comunhão, pertencimento familiar e vínculos comunitários. A aproximação permite compreender a continuidade como trabalho relacional pelo qual os participantes recebem conhecimentos, acrescentam experiências e os recolocam em circulação.</w:t>
      </w:r>
    </w:p>
    <w:p w14:paraId="3A4DB79C" w14:textId="77777777" w:rsidR="0087573D" w:rsidRDefault="00541BC1">
      <w:r>
        <w:t xml:space="preserve">O corpo que aprende encontra-se implicado na formação histórica do território. A presença originária dos </w:t>
      </w:r>
      <w:proofErr w:type="spellStart"/>
      <w:r>
        <w:t>Payayá</w:t>
      </w:r>
      <w:proofErr w:type="spellEnd"/>
      <w:r>
        <w:t xml:space="preserve"> e os processos coloniais que aproximaram povos indígenas, africanos, afrodescendentes, colonos e missionários produziram relações de coerção, conflito, negociação e reelaboração em Genipapo (Oliveira; </w:t>
      </w:r>
      <w:proofErr w:type="spellStart"/>
      <w:r>
        <w:t>Mascim</w:t>
      </w:r>
      <w:proofErr w:type="spellEnd"/>
      <w:r>
        <w:t>, 2021, p. 16-28; Vieira Filho, 2006). Essa participação afro-indígena não converte o Reisado, de inspiração católica, em expressão afro-indígena; permite compreender como seus agentes reelaboram repertórios em uma formação territorial heterogênea. Em aproximação com o corpo-território sistematizado por Cruz Hernández (2016), a investigação observa como memórias e saberes se atualizam nos gestos, nas vozes e nos percursos.</w:t>
      </w:r>
    </w:p>
    <w:p w14:paraId="3A4DB79D" w14:textId="77777777" w:rsidR="0087573D" w:rsidRDefault="00541BC1">
      <w:r>
        <w:t>A dimensão pedagógica dessas relações encontra apoio em Rufino (2019, p. 84), para quem praticantes, saberes e culturas negro-africanas em diáspora produzem contextos educativos próprios. Sua pedagogia das encruzilhadas permite reconhecer uma educação realizada na convivência, na escuta, na observação e na responsabilidade assumida durante o fazer coletivo. Orientar um gesto, sustentar um canto, repartir tarefas e acolher quem se aproxima fazem circular conhecimentos e ampliam as condições de continuidade da expressão.</w:t>
      </w:r>
    </w:p>
    <w:p w14:paraId="3A4DB79E" w14:textId="77777777" w:rsidR="0087573D" w:rsidRDefault="00541BC1">
      <w:r>
        <w:t xml:space="preserve">Consideradas em conjunto, essas ações aproximam-se do envolvimento formulado por Santos (2023), que destaca relações e circularidade entre gerações diante do </w:t>
      </w:r>
      <w:r>
        <w:lastRenderedPageBreak/>
        <w:t>desenvolvimento que desconecta; a geração avó constitui o começo, a geração mãe, o meio, e a geração neta, “o começo de novo” (Santos, 2023, p. 102). Essa formulação acrescenta ao “refazer cultural” de Lopes (2018) uma continuidade fundada na relação, pela qual participar envolve aproximar corpos, receber saberes, responder pela realização e criar possibilidades de novas participações.</w:t>
      </w:r>
    </w:p>
    <w:p w14:paraId="3A4DB79F" w14:textId="77777777" w:rsidR="0087573D" w:rsidRDefault="00541BC1">
      <w:r>
        <w:t xml:space="preserve">Ao término desse percurso, a análise denomina táticas de envolvimento as ações situadas pelas quais mestres e brincantes aproximam pessoas, compartilham conhecimentos, distribuem responsabilidades e recompõem vínculos. “Táticas” preserva, em </w:t>
      </w:r>
      <w:proofErr w:type="spellStart"/>
      <w:r>
        <w:t>Certeau</w:t>
      </w:r>
      <w:proofErr w:type="spellEnd"/>
      <w:r>
        <w:t xml:space="preserve"> (1994), o sentido de práticas que manejam ocasiões no interior de relações assimétricas; sua aproximação com Rufino (2019) e Santos (2023) permite examinar como agentes desautorizados fazem circular pedagogias próprias. A categoria constitui resultado da operação investigativa, e não qualidade abstrata ou evidência de campo, ao nomear como ações corporais podem transformar presença em participação, aprendizagem em responsabilidade e memória em continuidade.</w:t>
      </w:r>
    </w:p>
    <w:p w14:paraId="3A4DB7A0" w14:textId="77777777" w:rsidR="0087573D" w:rsidRDefault="00541BC1">
      <w:r>
        <w:t>O cuidado emerge como possibilidade dessas relações, sem se tornar atributo natural da comunidade ou tarefa feminina. Quando um corpo orienta outro, sustenta sua entrada na performance e partilha responsabilidades, a ação pode cuidar das pessoas, da memória e das condições de realização do Reisado. A análise compreende esse cuidado como trabalho político e educativo de manutenção da vida comunitária, atravessado por conflitos e desigualdades.</w:t>
      </w:r>
    </w:p>
    <w:p w14:paraId="3A4DB7A1" w14:textId="77777777" w:rsidR="0087573D" w:rsidRDefault="00541BC1">
      <w:r>
        <w:t>Conclui-se, preliminarmente, que observar o Reisado pelos corpos que o realizam permite compreendê-lo como espaço de produção de conhecimento, no qual memória, aprendizagem e continuidade são tecidas em relação. O percurso conduz às táticas de envolvimento como resultado analítico que nomeia aproximações e responsabilidades entre corpos, gerações e território, e ao cuidado como efeito possível dessas ações. Torna-se perceptível, assim, uma pedagogia corporal que acrescenta experiências aos saberes recebidos e transforma continuidade em compromisso partilhado com a vida.</w:t>
      </w:r>
    </w:p>
    <w:p w14:paraId="3A4DB7A2" w14:textId="77777777" w:rsidR="0087573D" w:rsidRDefault="00541BC1">
      <w:pPr>
        <w:keepNext/>
        <w:spacing w:before="240"/>
        <w:jc w:val="left"/>
      </w:pPr>
      <w:r>
        <w:rPr>
          <w:b/>
        </w:rPr>
        <w:t>PALAVRAS-CHAVE</w:t>
      </w:r>
    </w:p>
    <w:p w14:paraId="3A4DB7A3" w14:textId="77777777" w:rsidR="0087573D" w:rsidRDefault="00541BC1">
      <w:pPr>
        <w:spacing w:after="240" w:line="240" w:lineRule="auto"/>
      </w:pPr>
      <w:r>
        <w:rPr>
          <w:sz w:val="22"/>
        </w:rPr>
        <w:t>Reisado; corpo-território; aprendizagem; táticas de envolvimento; cuidado.</w:t>
      </w:r>
    </w:p>
    <w:p w14:paraId="3A4DB7A4" w14:textId="77777777" w:rsidR="0087573D" w:rsidRDefault="00541BC1">
      <w:pPr>
        <w:keepNext/>
        <w:spacing w:line="240" w:lineRule="auto"/>
        <w:jc w:val="left"/>
      </w:pPr>
      <w:r>
        <w:rPr>
          <w:b/>
        </w:rPr>
        <w:t>REFERÊNCIAS</w:t>
      </w:r>
    </w:p>
    <w:p w14:paraId="3A4DB7A5" w14:textId="77777777" w:rsidR="0087573D" w:rsidRDefault="00541BC1">
      <w:pPr>
        <w:spacing w:after="240" w:line="240" w:lineRule="auto"/>
        <w:jc w:val="left"/>
      </w:pPr>
      <w:r>
        <w:t>CERTEAU, Michel de. A invenção do cotidiano: 1. artes de fazer. 3. ed. Petrópolis: Vozes, 1994.</w:t>
      </w:r>
    </w:p>
    <w:p w14:paraId="3A4DB7A6" w14:textId="77777777" w:rsidR="0087573D" w:rsidRDefault="00541BC1">
      <w:pPr>
        <w:spacing w:after="240" w:line="240" w:lineRule="auto"/>
        <w:jc w:val="left"/>
      </w:pPr>
      <w:r>
        <w:lastRenderedPageBreak/>
        <w:t xml:space="preserve">CRUZ HERNÁNDEZ, </w:t>
      </w:r>
      <w:proofErr w:type="spellStart"/>
      <w:r>
        <w:t>Delmy</w:t>
      </w:r>
      <w:proofErr w:type="spellEnd"/>
      <w:r>
        <w:t xml:space="preserve"> Tania. Una mirada </w:t>
      </w:r>
      <w:proofErr w:type="spellStart"/>
      <w:r>
        <w:t>muy</w:t>
      </w:r>
      <w:proofErr w:type="spellEnd"/>
      <w:r>
        <w:t xml:space="preserve"> </w:t>
      </w:r>
      <w:proofErr w:type="spellStart"/>
      <w:r>
        <w:t>otra</w:t>
      </w:r>
      <w:proofErr w:type="spellEnd"/>
      <w:r>
        <w:t xml:space="preserve"> a </w:t>
      </w:r>
      <w:proofErr w:type="spellStart"/>
      <w:r>
        <w:t>los</w:t>
      </w:r>
      <w:proofErr w:type="spellEnd"/>
      <w:r>
        <w:t xml:space="preserve"> </w:t>
      </w:r>
      <w:proofErr w:type="spellStart"/>
      <w:r>
        <w:t>territorios-cuerpos</w:t>
      </w:r>
      <w:proofErr w:type="spellEnd"/>
      <w:r>
        <w:t xml:space="preserve"> </w:t>
      </w:r>
      <w:proofErr w:type="spellStart"/>
      <w:r>
        <w:t>femeninos</w:t>
      </w:r>
      <w:proofErr w:type="spellEnd"/>
      <w:r>
        <w:t xml:space="preserve">. Solar: Revista de </w:t>
      </w:r>
      <w:proofErr w:type="spellStart"/>
      <w:r>
        <w:t>Filosofía</w:t>
      </w:r>
      <w:proofErr w:type="spellEnd"/>
      <w:r>
        <w:t xml:space="preserve"> Iberoamericana, ano 12, v. 12, n. 1, 2016.</w:t>
      </w:r>
    </w:p>
    <w:p w14:paraId="3A4DB7A7" w14:textId="77777777" w:rsidR="0087573D" w:rsidRDefault="00541BC1">
      <w:pPr>
        <w:spacing w:after="240" w:line="240" w:lineRule="auto"/>
        <w:jc w:val="left"/>
      </w:pPr>
      <w:r>
        <w:t>GONZALEZ, Lélia. Festas populares no Brasil. São Paulo: Boitempo, 2024.</w:t>
      </w:r>
    </w:p>
    <w:p w14:paraId="3A4DB7A8" w14:textId="77777777" w:rsidR="0087573D" w:rsidRDefault="00541BC1">
      <w:pPr>
        <w:spacing w:after="240" w:line="240" w:lineRule="auto"/>
        <w:jc w:val="left"/>
      </w:pPr>
      <w:r>
        <w:t>LOPES, Adão Fernandes. “Ô de casa ô de fora Maria vai ver quem é”: o terno de reis de figuras e espadas e suas implicações na(s) prática(s) educativa(s) no Colégio Dom Antônio de Mendonça em Genipapo/</w:t>
      </w:r>
      <w:proofErr w:type="spellStart"/>
      <w:r>
        <w:t>Saúde-BA</w:t>
      </w:r>
      <w:proofErr w:type="spellEnd"/>
      <w:r>
        <w:t>. 2018. 258 f. Dissertação (Mestrado em Educação e Diversidade) — Universidade do Estado da Bahia, Jacobina, 2018.</w:t>
      </w:r>
    </w:p>
    <w:p w14:paraId="3A4DB7A9" w14:textId="77777777" w:rsidR="0087573D" w:rsidRDefault="00541BC1">
      <w:pPr>
        <w:spacing w:after="240" w:line="240" w:lineRule="auto"/>
        <w:jc w:val="left"/>
      </w:pPr>
      <w:r>
        <w:t xml:space="preserve">OLIVEIRA, Edivan Lima de; MASCIM, </w:t>
      </w:r>
      <w:proofErr w:type="spellStart"/>
      <w:r>
        <w:t>Alesandra</w:t>
      </w:r>
      <w:proofErr w:type="spellEnd"/>
      <w:r>
        <w:t xml:space="preserve"> Alves. Valorização do lugar e da produção de flores do povoado de Genipapo no município de </w:t>
      </w:r>
      <w:proofErr w:type="spellStart"/>
      <w:r>
        <w:t>Saúde-BA</w:t>
      </w:r>
      <w:proofErr w:type="spellEnd"/>
      <w:r>
        <w:t>. 2021. 80 f. Trabalho de Conclusão de Curso (Licenciatura em Geografia) — Universidade do Estado da Bahia, Jacobina, 2021.</w:t>
      </w:r>
    </w:p>
    <w:p w14:paraId="3A4DB7AA" w14:textId="77777777" w:rsidR="0087573D" w:rsidRDefault="00541BC1">
      <w:pPr>
        <w:spacing w:after="240" w:line="240" w:lineRule="auto"/>
        <w:jc w:val="left"/>
      </w:pPr>
      <w:r>
        <w:t xml:space="preserve">MARTINS, Leda Maria. </w:t>
      </w:r>
      <w:proofErr w:type="spellStart"/>
      <w:r>
        <w:t>Afrografias</w:t>
      </w:r>
      <w:proofErr w:type="spellEnd"/>
      <w:r>
        <w:t xml:space="preserve"> da memória: o Reinado do Rosário no Jatobá. 2. ed. São Paulo: Perspectiva; Belo Horizonte: Mazza Edições, 2021a.</w:t>
      </w:r>
    </w:p>
    <w:p w14:paraId="3A4DB7AB" w14:textId="77777777" w:rsidR="0087573D" w:rsidRDefault="00541BC1">
      <w:pPr>
        <w:spacing w:after="240" w:line="240" w:lineRule="auto"/>
        <w:jc w:val="left"/>
      </w:pPr>
      <w:r>
        <w:t>MARTINS, Leda Maria. Performances do tempo espiralar: poéticas do corpo-tela. Rio de Janeiro: Cobogó, 2021b.</w:t>
      </w:r>
    </w:p>
    <w:p w14:paraId="3A4DB7AC" w14:textId="77777777" w:rsidR="0087573D" w:rsidRDefault="00541BC1">
      <w:pPr>
        <w:spacing w:after="240" w:line="240" w:lineRule="auto"/>
        <w:jc w:val="left"/>
      </w:pPr>
      <w:r>
        <w:t>RUFINO, Luiz. Pedagogia das encruzilhadas. Rio de Janeiro: Mórula, 2019.</w:t>
      </w:r>
    </w:p>
    <w:p w14:paraId="3A4DB7AD" w14:textId="77777777" w:rsidR="0087573D" w:rsidRDefault="00541BC1">
      <w:pPr>
        <w:spacing w:after="240" w:line="240" w:lineRule="auto"/>
        <w:jc w:val="left"/>
      </w:pPr>
      <w:r>
        <w:t xml:space="preserve">SANTOS, Antônio Bispo dos. A terra dá, a terra quer. São Paulo: Ubu Editora; </w:t>
      </w:r>
      <w:proofErr w:type="spellStart"/>
      <w:r>
        <w:t>Piseagrama</w:t>
      </w:r>
      <w:proofErr w:type="spellEnd"/>
      <w:r>
        <w:t>, 2023.</w:t>
      </w:r>
    </w:p>
    <w:p w14:paraId="3A4DB7AE" w14:textId="77777777" w:rsidR="0087573D" w:rsidRDefault="00541BC1">
      <w:pPr>
        <w:spacing w:after="240" w:line="240" w:lineRule="auto"/>
        <w:jc w:val="left"/>
      </w:pPr>
      <w:r>
        <w:t>VIEIRA FILHO, Raphael Rodrigues. Os negros em Jacobina (Bahia) no século XIX. 2006. 240 f. Tese (Doutorado em História Social) — Pontifícia Universidade Católica de São Paulo, São Paulo, 2006.</w:t>
      </w:r>
      <w:r>
        <w:br/>
      </w:r>
    </w:p>
    <w:sectPr w:rsidR="0087573D">
      <w:headerReference w:type="default" r:id="rId7"/>
      <w:footerReference w:type="default" r:id="rId8"/>
      <w:headerReference w:type="first" r:id="rId9"/>
      <w:footerReference w:type="first" r:id="rId10"/>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628B7" w14:textId="77777777" w:rsidR="0070173F" w:rsidRDefault="0070173F">
      <w:pPr>
        <w:spacing w:line="240" w:lineRule="auto"/>
      </w:pPr>
      <w:r>
        <w:separator/>
      </w:r>
    </w:p>
  </w:endnote>
  <w:endnote w:type="continuationSeparator" w:id="0">
    <w:p w14:paraId="32DE9B6C" w14:textId="77777777" w:rsidR="0070173F" w:rsidRDefault="007017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A6916E-D440-4FBC-842A-D2BB8AA13877}"/>
  </w:font>
  <w:font w:name="Cambria">
    <w:panose1 w:val="02040503050406030204"/>
    <w:charset w:val="00"/>
    <w:family w:val="roman"/>
    <w:pitch w:val="variable"/>
    <w:sig w:usb0="E00006FF" w:usb1="420024FF" w:usb2="02000000" w:usb3="00000000" w:csb0="0000019F" w:csb1="00000000"/>
    <w:embedRegular r:id="rId2" w:fontKey="{A6CC3E43-A84F-48D8-8FAF-C0E05F09AD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B7B3" w14:textId="477FF91E" w:rsidR="0087573D" w:rsidRDefault="00541BC1">
    <w:pPr>
      <w:jc w:val="center"/>
    </w:pPr>
    <w:r>
      <w:fldChar w:fldCharType="begin"/>
    </w:r>
    <w:r>
      <w:instrText>PAGE</w:instrText>
    </w:r>
    <w:r>
      <w:fldChar w:fldCharType="separate"/>
    </w:r>
    <w:r w:rsidR="0029581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B7B5" w14:textId="77777777" w:rsidR="0087573D" w:rsidRDefault="008757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7F30" w14:textId="77777777" w:rsidR="0070173F" w:rsidRDefault="0070173F">
      <w:pPr>
        <w:spacing w:line="240" w:lineRule="auto"/>
      </w:pPr>
      <w:r>
        <w:separator/>
      </w:r>
    </w:p>
  </w:footnote>
  <w:footnote w:type="continuationSeparator" w:id="0">
    <w:p w14:paraId="6E3414C7" w14:textId="77777777" w:rsidR="0070173F" w:rsidRDefault="007017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B7AF" w14:textId="77777777" w:rsidR="0087573D" w:rsidRDefault="00541BC1">
    <w:pPr>
      <w:jc w:val="right"/>
    </w:pPr>
    <w:r>
      <w:rPr>
        <w:noProof/>
      </w:rPr>
      <w:drawing>
        <wp:anchor distT="114300" distB="114300" distL="114300" distR="114300" simplePos="0" relativeHeight="251658240" behindDoc="1" locked="0" layoutInCell="1" hidden="0" allowOverlap="1" wp14:anchorId="3A4DB7B6" wp14:editId="3A4DB7B7">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3A4DB7B8" wp14:editId="3A4DB7B9">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3A4DB7B0" w14:textId="77777777" w:rsidR="0087573D" w:rsidRDefault="0087573D">
    <w:pPr>
      <w:jc w:val="right"/>
    </w:pPr>
  </w:p>
  <w:p w14:paraId="3A4DB7B1" w14:textId="77777777" w:rsidR="0087573D" w:rsidRDefault="0087573D">
    <w:pPr>
      <w:jc w:val="right"/>
    </w:pPr>
  </w:p>
  <w:p w14:paraId="3A4DB7B2" w14:textId="77777777" w:rsidR="0087573D" w:rsidRDefault="00541BC1">
    <w:pPr>
      <w:jc w:val="left"/>
    </w:pPr>
    <w:r>
      <w:rPr>
        <w:noProof/>
      </w:rPr>
      <w:drawing>
        <wp:anchor distT="114300" distB="114300" distL="114300" distR="114300" simplePos="0" relativeHeight="251660288" behindDoc="1" locked="0" layoutInCell="1" hidden="0" allowOverlap="1" wp14:anchorId="3A4DB7BA" wp14:editId="3A4DB7BB">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B7B4" w14:textId="77777777" w:rsidR="0087573D" w:rsidRDefault="0087573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73D"/>
    <w:rsid w:val="00295811"/>
    <w:rsid w:val="00512504"/>
    <w:rsid w:val="00541BC1"/>
    <w:rsid w:val="0070173F"/>
    <w:rsid w:val="0087573D"/>
    <w:rsid w:val="00B502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B794"/>
  <w15:docId w15:val="{4D87F3BA-1D7C-499F-8075-58A4E73A7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sz w:val="24"/>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B5026A"/>
    <w:rPr>
      <w:color w:val="0000FF" w:themeColor="hyperlink"/>
      <w:u w:val="single"/>
    </w:rPr>
  </w:style>
  <w:style w:type="character" w:styleId="MenoPendente">
    <w:name w:val="Unresolved Mention"/>
    <w:basedOn w:val="Fontepargpadro"/>
    <w:uiPriority w:val="99"/>
    <w:semiHidden/>
    <w:unhideWhenUsed/>
    <w:rsid w:val="00B50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ORNARSEMENTE@GMAIL.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1316</Words>
  <Characters>7111</Characters>
  <Application>Microsoft Office Word</Application>
  <DocSecurity>0</DocSecurity>
  <Lines>59</Lines>
  <Paragraphs>16</Paragraphs>
  <ScaleCrop>false</ScaleCrop>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Renan Reis</cp:lastModifiedBy>
  <cp:revision>3</cp:revision>
  <dcterms:created xsi:type="dcterms:W3CDTF">2026-08-15T17:30:00Z</dcterms:created>
  <dcterms:modified xsi:type="dcterms:W3CDTF">2026-08-15T17:35:00Z</dcterms:modified>
</cp:coreProperties>
</file>