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1DD39" w14:textId="77777777" w:rsidR="0079274B" w:rsidRDefault="00000000">
      <w:pPr>
        <w:pStyle w:val="normal1"/>
        <w:widowControl w:val="0"/>
        <w:spacing w:line="240" w:lineRule="auto"/>
        <w:jc w:val="center"/>
        <w:rPr>
          <w:lang w:val="pt-BR"/>
        </w:rPr>
      </w:pPr>
      <w:r>
        <w:rPr>
          <w:b/>
          <w:bCs/>
          <w:sz w:val="24"/>
          <w:szCs w:val="24"/>
          <w:lang w:val="pt-BR"/>
        </w:rPr>
        <w:t>CONVERSATÓRIO 05 – DECOLONIZAR E INTERCULTURALIZAR AS UNIVERSIDADES: AÇÕES AFIRMATIVAS, JUSTIÇA EPISTÊMICA E OUTROS MODOS DE CONHECER</w:t>
      </w:r>
    </w:p>
    <w:p w14:paraId="56A0BB1B" w14:textId="77777777" w:rsidR="0079274B" w:rsidRDefault="0079274B">
      <w:pPr>
        <w:pStyle w:val="normal1"/>
        <w:widowControl w:val="0"/>
        <w:spacing w:line="240" w:lineRule="auto"/>
        <w:jc w:val="center"/>
        <w:rPr>
          <w:lang w:val="pt-BR"/>
        </w:rPr>
      </w:pPr>
    </w:p>
    <w:p w14:paraId="6F36EE1F" w14:textId="77777777" w:rsidR="0079274B" w:rsidRDefault="0079274B">
      <w:pPr>
        <w:pStyle w:val="normal1"/>
        <w:keepLines/>
        <w:widowControl w:val="0"/>
        <w:spacing w:line="240" w:lineRule="auto"/>
        <w:rPr>
          <w:b/>
          <w:bCs/>
          <w:sz w:val="24"/>
          <w:szCs w:val="24"/>
          <w:lang w:val="pt-BR"/>
        </w:rPr>
      </w:pPr>
    </w:p>
    <w:p w14:paraId="295A0A02" w14:textId="49AD59C2" w:rsidR="0079274B" w:rsidRDefault="00000000">
      <w:pPr>
        <w:pStyle w:val="normal1"/>
        <w:keepLines/>
        <w:widowControl w:val="0"/>
        <w:spacing w:line="240" w:lineRule="auto"/>
        <w:jc w:val="center"/>
        <w:rPr>
          <w:lang w:val="pt-BR"/>
        </w:rPr>
      </w:pPr>
      <w:r>
        <w:rPr>
          <w:b/>
          <w:bCs/>
          <w:sz w:val="24"/>
          <w:szCs w:val="24"/>
          <w:lang w:val="pt-BR"/>
        </w:rPr>
        <w:t xml:space="preserve"> Escritas outras e pesquisa dialógica: reflexões sobre a investigação acadêmica</w:t>
      </w:r>
    </w:p>
    <w:p w14:paraId="7E3EB42E" w14:textId="77777777" w:rsidR="0079274B" w:rsidRDefault="0079274B">
      <w:pPr>
        <w:pStyle w:val="normal1"/>
        <w:keepLines/>
        <w:widowControl w:val="0"/>
        <w:spacing w:line="240" w:lineRule="auto"/>
        <w:rPr>
          <w:sz w:val="24"/>
          <w:szCs w:val="24"/>
          <w:lang w:val="pt-BR"/>
        </w:rPr>
      </w:pPr>
    </w:p>
    <w:p w14:paraId="46935786" w14:textId="77777777" w:rsidR="0079274B" w:rsidRDefault="0079274B">
      <w:pPr>
        <w:pStyle w:val="normal1"/>
        <w:keepLines/>
        <w:widowControl w:val="0"/>
        <w:spacing w:line="240" w:lineRule="auto"/>
        <w:jc w:val="right"/>
        <w:rPr>
          <w:sz w:val="24"/>
          <w:szCs w:val="24"/>
          <w:lang w:val="pt-BR"/>
        </w:rPr>
      </w:pPr>
    </w:p>
    <w:p w14:paraId="1D91919D" w14:textId="77777777" w:rsidR="0079274B" w:rsidRDefault="00000000">
      <w:pPr>
        <w:pStyle w:val="normal1"/>
        <w:keepLines/>
        <w:widowControl w:val="0"/>
        <w:spacing w:line="240" w:lineRule="auto"/>
        <w:jc w:val="right"/>
        <w:rPr>
          <w:lang w:val="pt-BR"/>
        </w:rPr>
      </w:pPr>
      <w:r>
        <w:rPr>
          <w:sz w:val="24"/>
          <w:szCs w:val="24"/>
          <w:lang w:val="pt-BR"/>
        </w:rPr>
        <w:t>Hosana do Nascimento Ramôa, Universidade do Estado do Rio de Janeiro (UERJ) e Universidade Federal Fluminense (UFF), hosana.nramoa@gmail.com</w:t>
      </w:r>
    </w:p>
    <w:p w14:paraId="748BF705" w14:textId="77777777" w:rsidR="0079274B" w:rsidRDefault="0079274B">
      <w:pPr>
        <w:pStyle w:val="normal1"/>
        <w:keepLines/>
        <w:widowControl w:val="0"/>
        <w:spacing w:line="240" w:lineRule="auto"/>
        <w:jc w:val="right"/>
        <w:rPr>
          <w:lang w:val="pt-BR"/>
        </w:rPr>
      </w:pPr>
    </w:p>
    <w:p w14:paraId="3890637E" w14:textId="77777777" w:rsidR="0079274B" w:rsidRDefault="0079274B">
      <w:pPr>
        <w:pStyle w:val="normal1"/>
        <w:keepLines/>
        <w:widowControl w:val="0"/>
        <w:spacing w:line="240" w:lineRule="auto"/>
        <w:rPr>
          <w:sz w:val="24"/>
          <w:szCs w:val="24"/>
          <w:lang w:val="pt-BR"/>
        </w:rPr>
      </w:pPr>
    </w:p>
    <w:p w14:paraId="1645A92D" w14:textId="77777777" w:rsidR="0079274B" w:rsidRDefault="0079274B">
      <w:pPr>
        <w:pStyle w:val="normal1"/>
        <w:widowControl w:val="0"/>
        <w:spacing w:line="240" w:lineRule="auto"/>
        <w:rPr>
          <w:sz w:val="24"/>
          <w:szCs w:val="24"/>
          <w:lang w:val="pt-BR"/>
        </w:rPr>
      </w:pPr>
    </w:p>
    <w:p w14:paraId="0977D301" w14:textId="77777777" w:rsidR="0079274B" w:rsidRDefault="00000000">
      <w:pPr>
        <w:pStyle w:val="normal1"/>
        <w:keepLines/>
        <w:widowControl w:val="0"/>
        <w:spacing w:line="360" w:lineRule="auto"/>
        <w:rPr>
          <w:lang w:val="pt-BR"/>
        </w:rPr>
      </w:pPr>
      <w:r>
        <w:rPr>
          <w:b/>
          <w:bCs/>
          <w:sz w:val="24"/>
          <w:szCs w:val="24"/>
          <w:lang w:val="pt-BR"/>
        </w:rPr>
        <w:t>RESUMO</w:t>
      </w:r>
    </w:p>
    <w:p w14:paraId="54E694EB" w14:textId="77777777" w:rsidR="0079274B" w:rsidRDefault="0079274B">
      <w:pPr>
        <w:pStyle w:val="normal1"/>
        <w:keepLines/>
        <w:widowControl w:val="0"/>
        <w:spacing w:line="360" w:lineRule="auto"/>
        <w:rPr>
          <w:b/>
          <w:bCs/>
          <w:sz w:val="24"/>
          <w:szCs w:val="24"/>
          <w:lang w:val="pt-BR"/>
        </w:rPr>
      </w:pPr>
    </w:p>
    <w:p w14:paraId="2CEBE71F" w14:textId="77777777" w:rsidR="0079274B" w:rsidRDefault="00000000">
      <w:pPr>
        <w:pStyle w:val="normal1"/>
        <w:widowControl w:val="0"/>
        <w:spacing w:line="360" w:lineRule="auto"/>
        <w:jc w:val="both"/>
        <w:rPr>
          <w:lang w:val="pt-BR"/>
        </w:rPr>
      </w:pPr>
      <w:r>
        <w:rPr>
          <w:sz w:val="24"/>
          <w:szCs w:val="24"/>
          <w:lang w:val="pt-BR"/>
        </w:rPr>
        <w:t>O presente trabalho apresenta pontos de reflexão a partir da pesquisa realizada na tese intitulada “</w:t>
      </w:r>
      <w:r>
        <w:rPr>
          <w:sz w:val="23"/>
          <w:szCs w:val="24"/>
          <w:lang w:val="pt-BR"/>
        </w:rPr>
        <w:t>Encontros com a corp(o)ralidade: Narrativa, presença &amp; performance docente nas aulas de História da educação básica” (Ramôa, 2024). Neste texto, a intenção não é produzir um recorte da tese ou sua apresentação de forma reduzida. Na verdade, o que se propõe é registrar o que fica para além do texto final, ou seja, ao observar a investigação com os olhos do presente (2026) nos questionamos: o que a pesquisa possibilitou vislumbrar para além de sua temática principal? Quais caminhos ela percorreu que indicam outros horizontes possíveis de reflexão?</w:t>
      </w:r>
    </w:p>
    <w:p w14:paraId="710E4B61" w14:textId="77777777" w:rsidR="0079274B" w:rsidRDefault="00000000">
      <w:pPr>
        <w:pStyle w:val="normal1"/>
        <w:widowControl w:val="0"/>
        <w:spacing w:line="360" w:lineRule="auto"/>
        <w:jc w:val="both"/>
        <w:rPr>
          <w:lang w:val="pt-BR"/>
        </w:rPr>
      </w:pPr>
      <w:r>
        <w:rPr>
          <w:sz w:val="23"/>
          <w:szCs w:val="24"/>
          <w:lang w:val="pt-BR"/>
        </w:rPr>
        <w:t>Frente a essa provocação, dois pontos se destacam: o primeiro direcionado ao formato da escrita do texto e o segundo sobre a análise da empiria produzida. Em ambos os casos, a questão perpassa escolhas teórico-metodológicas que expressam a relação da pesquisadora com a pesquisa, os sujeitos participantes e a compreensão dos limites e possibilidades da pesquisa acadêmica.</w:t>
      </w:r>
    </w:p>
    <w:p w14:paraId="4C6EAE24" w14:textId="77777777" w:rsidR="0079274B" w:rsidRDefault="00000000">
      <w:pPr>
        <w:pStyle w:val="normal1"/>
        <w:widowControl w:val="0"/>
        <w:spacing w:line="360" w:lineRule="auto"/>
        <w:jc w:val="both"/>
        <w:rPr>
          <w:lang w:val="pt-BR"/>
        </w:rPr>
      </w:pPr>
      <w:r>
        <w:rPr>
          <w:sz w:val="23"/>
          <w:szCs w:val="24"/>
          <w:lang w:val="pt-BR"/>
        </w:rPr>
        <w:t xml:space="preserve">Para chegar até os pontos mencionados, é preciso explicitar sucintamente a tese referida acima. Partindo do objetivo de compreender como a performance na docência em História constrói narrativas acerca do ensino e da profissão, a investigação contou com a participação de três professores de História no estado do Rio de Janeiro, realizando o acompanhamento de suas aulas e entrevistas individuais semiestruturadas. </w:t>
      </w:r>
      <w:r>
        <w:rPr>
          <w:sz w:val="24"/>
          <w:szCs w:val="24"/>
          <w:lang w:val="pt-BR"/>
        </w:rPr>
        <w:t xml:space="preserve">Nesse sentido, a performance, conceito chave de investigação, era compreendida como uma narrativa que, ao amalgamar corpo, oralidade e sentidos em sala de aula, ensinava a disciplina História aos alunos, e com isso, operava o ensino da profissão, externalizando o que é ser professor/a de História. </w:t>
      </w:r>
    </w:p>
    <w:p w14:paraId="4D1B761E" w14:textId="7008BD07" w:rsidR="0079274B" w:rsidRDefault="00000000">
      <w:pPr>
        <w:pStyle w:val="normal1"/>
        <w:widowControl w:val="0"/>
        <w:spacing w:line="360" w:lineRule="auto"/>
        <w:jc w:val="both"/>
        <w:rPr>
          <w:sz w:val="24"/>
          <w:szCs w:val="24"/>
          <w:lang w:val="pt-BR"/>
        </w:rPr>
      </w:pPr>
      <w:r>
        <w:rPr>
          <w:sz w:val="24"/>
          <w:szCs w:val="24"/>
          <w:lang w:val="pt-BR"/>
        </w:rPr>
        <w:lastRenderedPageBreak/>
        <w:t xml:space="preserve">Diante da pesquisa delineada, seu registro escrito foi uma questão que solicitou atenção. A dúvida era: como compor uma escrita que conseguisse intelectualmente e esteticamente atender a demanda da presença corpórea da pesquisadora e dos colaboradores? Sem perder de vista o rigor científico, mas, ao mesmo tempo, possibilitando o diálogo com outras formas de conhecer, de saber e de registrar, a tese seguiu o caminho de uma escrita em primeira pessoa, inspirada pela obra de bell hooks (2017; 2021). Nesse fluxo, </w:t>
      </w:r>
      <w:r w:rsidR="00FF7CC6">
        <w:rPr>
          <w:sz w:val="24"/>
          <w:szCs w:val="24"/>
          <w:lang w:val="pt-BR"/>
        </w:rPr>
        <w:t xml:space="preserve">e </w:t>
      </w:r>
      <w:r>
        <w:rPr>
          <w:sz w:val="24"/>
          <w:szCs w:val="24"/>
          <w:lang w:val="pt-BR"/>
        </w:rPr>
        <w:t xml:space="preserve">tendo um trabalho fundamentado nas narrativas corporalizadas de docentes, o texto ganhou o desenho de uma tese narrativa. Esse exercício reforçou a busca por “escritas outras”, ou seja, modos de narrar a pesquisa acadêmica, demarcando a mão humana por trás das sentenças e argumentações. </w:t>
      </w:r>
    </w:p>
    <w:p w14:paraId="318F2AFA" w14:textId="77777777" w:rsidR="0079274B" w:rsidRDefault="00000000">
      <w:pPr>
        <w:pStyle w:val="normal1"/>
        <w:widowControl w:val="0"/>
        <w:spacing w:line="360" w:lineRule="auto"/>
        <w:jc w:val="both"/>
        <w:rPr>
          <w:sz w:val="24"/>
          <w:szCs w:val="24"/>
          <w:lang w:val="pt-BR"/>
        </w:rPr>
      </w:pPr>
      <w:r>
        <w:rPr>
          <w:sz w:val="24"/>
          <w:szCs w:val="24"/>
          <w:lang w:val="pt-BR"/>
        </w:rPr>
        <w:t>Hoje, a tentativa por um entendimento do que seriam essas escritas outras nos levam a reflexionar uma escrita que considere a existência humana e a vida pulsante presente na pesquisa que se fundamenta nas narrativas docentes. Essa posição destaca, ainda, possíveis aberturas a diferentes e respeitosos modos de relacionar pesquisador e pesquisa, pesquisador e colaboradores e colaboradores e universidade. O que se avizinha, portanto, é a proposição de relações menos verticalizadas e mais horizontalizadas, mais respeitosas e menos excludentes no processo de construção e divulgação científica.</w:t>
      </w:r>
    </w:p>
    <w:p w14:paraId="5C7076A2" w14:textId="06253A69" w:rsidR="0079274B" w:rsidRDefault="00000000">
      <w:pPr>
        <w:pStyle w:val="normal1"/>
        <w:widowControl w:val="0"/>
        <w:spacing w:line="360" w:lineRule="auto"/>
        <w:jc w:val="both"/>
        <w:rPr>
          <w:sz w:val="24"/>
          <w:szCs w:val="24"/>
          <w:lang w:val="pt-BR"/>
        </w:rPr>
      </w:pPr>
      <w:r>
        <w:rPr>
          <w:sz w:val="24"/>
          <w:szCs w:val="24"/>
          <w:lang w:val="pt-BR"/>
        </w:rPr>
        <w:t xml:space="preserve">Em consonância com a perspectiva acima, na tese também houve a proposição de não elaborar análises sobre as narrativas docentes (fossem elas corporais ou oralizadas), mas um diálogo com os professores-narradores da profissão. Essa escolha reforçava a ideia de autoria docente sobre sua narrativa, assim como a visão dos professores como detentores de saberes (Tardif, 2014) e produtores do conhecimento profissional docente (Nóvoa, 2009). O caminho aproximou-nos das mônadas (BENJAMIN, 2016; PETRUCCI-ROSA et al., 2011), que segundo Walter Benjamin, seria um elemento que </w:t>
      </w:r>
      <w:r>
        <w:rPr>
          <w:sz w:val="23"/>
          <w:szCs w:val="24"/>
          <w:lang w:val="pt-BR"/>
        </w:rPr>
        <w:t xml:space="preserve">“contém a imagem do mundo” e, portanto, “a tarefa imposta à sua representação é nada mais nada menos que a do esboço dessa imagem abreviada do mundo” (BENJAMIN, 2016, p. 37). As mônadas, compreendidas na tese como narrativas orais e corpóreas (transcritas e fotografadas) dos docentes acompanhados, repletas de sentidos e concentrando particularidades que vislumbravam estruturas mais profundas, foram a rota utilizada para compor diálogos com a empiria. A partir das mônadas docentes, foi possível cunhar as mônadas </w:t>
      </w:r>
      <w:r>
        <w:rPr>
          <w:sz w:val="23"/>
          <w:szCs w:val="24"/>
          <w:lang w:val="pt-BR"/>
        </w:rPr>
        <w:lastRenderedPageBreak/>
        <w:t>potencializadas por esses encontros e não análises sobre eles. O que concerne uma outra lógica para a produção empírica: não mais objetos, mas os colaboradores enquanto sujeitos participantes ativos e desenvolvedores da investigação em conjunto com a pesquisadora, ou seja, uma pesquisa dialógica.</w:t>
      </w:r>
    </w:p>
    <w:p w14:paraId="61841F6F" w14:textId="77777777" w:rsidR="0079274B" w:rsidRDefault="00000000">
      <w:pPr>
        <w:pStyle w:val="normal1"/>
        <w:widowControl w:val="0"/>
        <w:spacing w:line="360" w:lineRule="auto"/>
        <w:jc w:val="both"/>
        <w:rPr>
          <w:sz w:val="24"/>
          <w:szCs w:val="24"/>
          <w:lang w:val="pt-BR"/>
        </w:rPr>
      </w:pPr>
      <w:r>
        <w:rPr>
          <w:sz w:val="24"/>
          <w:szCs w:val="24"/>
          <w:lang w:val="pt-BR"/>
        </w:rPr>
        <w:t>Estes dois pontos – uma escrita outra e a dialogicidade na pesquisa – evidenciam demandas que se relacionam com as formas de pesquisar e de habitar o espaço da universidade. Percebemos que nossas inquietações, portanto, caminham em direção à crítica que Krenak (2020) desenvolve acerca de uma interpretação em via única sobre a humanidade que percorre nossos dias. Para ele, diversos organismos unilaterais, como a Organização das Nações Unidas para a Educação e mesmo as universidades, se alinham aos interesses do mercado capitalista, deixando de lado outras compreensões do mundo e modos e viver. Essa seria uma das formas de externalização das relações de poder que determina modos de ser e de fazer como naturalizados e hegemônicos.</w:t>
      </w:r>
    </w:p>
    <w:p w14:paraId="24B6C576" w14:textId="1EE62271" w:rsidR="0079274B" w:rsidRDefault="00000000">
      <w:pPr>
        <w:pStyle w:val="normal1"/>
        <w:widowControl w:val="0"/>
        <w:spacing w:line="360" w:lineRule="auto"/>
        <w:jc w:val="both"/>
        <w:rPr>
          <w:sz w:val="24"/>
          <w:szCs w:val="24"/>
          <w:lang w:val="pt-BR"/>
        </w:rPr>
      </w:pPr>
      <w:r>
        <w:rPr>
          <w:sz w:val="24"/>
          <w:szCs w:val="24"/>
          <w:lang w:val="pt-BR"/>
        </w:rPr>
        <w:t>Krenak (2020) nos incita a ir além de uma visão pautada numa homogeneidade humana para uma perspectiva que considere a diversidade de vivências e a pluralidade de hábitos e modos de ser. Podemos estender esse entendimento até nossa forma de habitar o espaço universitário e as maneiras que desenvolvemos nossas pesquisas, tanto no que se refere às escolhas metodológicas, quanto teóricas numa pesquisa na área educacional. Afinal, partimos da ideia de que as seleções, maneiras de atuar e postura ética refletem os posicionamentos que assumimos e denunciam nossos direcionamentos e perspectivas históricas, políticas e sociais.</w:t>
      </w:r>
    </w:p>
    <w:p w14:paraId="12C1F512" w14:textId="29A65E98" w:rsidR="0079274B" w:rsidRDefault="00000000">
      <w:pPr>
        <w:pStyle w:val="normal1"/>
        <w:widowControl w:val="0"/>
        <w:spacing w:line="360" w:lineRule="auto"/>
        <w:jc w:val="both"/>
        <w:rPr>
          <w:sz w:val="24"/>
          <w:szCs w:val="24"/>
          <w:lang w:val="pt-BR"/>
        </w:rPr>
      </w:pPr>
      <w:r>
        <w:rPr>
          <w:sz w:val="24"/>
          <w:szCs w:val="24"/>
          <w:lang w:val="pt-BR"/>
        </w:rPr>
        <w:t>Propondo o registro de escritas outras e o diálogo com docentes na pesquisa educacional, este trabalho, portanto, instiga ao não apagamento dos sujeitos no processo investigativo, o que considera outros modos de conhecer e de produzir conhecimento. Esse processo indica, ainda, que a</w:t>
      </w:r>
      <w:r w:rsidR="001C1753">
        <w:rPr>
          <w:sz w:val="24"/>
          <w:szCs w:val="24"/>
          <w:lang w:val="pt-BR"/>
        </w:rPr>
        <w:t>s</w:t>
      </w:r>
      <w:r>
        <w:rPr>
          <w:sz w:val="24"/>
          <w:szCs w:val="24"/>
          <w:lang w:val="pt-BR"/>
        </w:rPr>
        <w:t xml:space="preserve"> forma</w:t>
      </w:r>
      <w:r w:rsidR="001C1753">
        <w:rPr>
          <w:sz w:val="24"/>
          <w:szCs w:val="24"/>
          <w:lang w:val="pt-BR"/>
        </w:rPr>
        <w:t>s</w:t>
      </w:r>
      <w:r>
        <w:rPr>
          <w:sz w:val="24"/>
          <w:szCs w:val="24"/>
          <w:lang w:val="pt-BR"/>
        </w:rPr>
        <w:t xml:space="preserve"> como os temas de interesse se entrelaçam com as histórias de vida dos pesquisadores e de seus colaboradores pode dar o fôlego necessário para que elas se tornem uma investigação. Em suma, podemos concluir que o reconhecimento da humanidade presente no processo de pesquisa não determina sua fragilização, antes alimenta outras perspectivas e temas de investigação</w:t>
      </w:r>
      <w:r w:rsidR="00142FF8">
        <w:rPr>
          <w:sz w:val="24"/>
          <w:szCs w:val="24"/>
          <w:lang w:val="pt-BR"/>
        </w:rPr>
        <w:t>. E</w:t>
      </w:r>
      <w:r>
        <w:rPr>
          <w:sz w:val="24"/>
          <w:szCs w:val="24"/>
          <w:lang w:val="pt-BR"/>
        </w:rPr>
        <w:t xml:space="preserve">sse seria um </w:t>
      </w:r>
      <w:r w:rsidR="00DB4367">
        <w:rPr>
          <w:sz w:val="24"/>
          <w:szCs w:val="24"/>
          <w:lang w:val="pt-BR"/>
        </w:rPr>
        <w:t xml:space="preserve">dos </w:t>
      </w:r>
      <w:r>
        <w:rPr>
          <w:sz w:val="24"/>
          <w:szCs w:val="24"/>
          <w:lang w:val="pt-BR"/>
        </w:rPr>
        <w:t>caminho</w:t>
      </w:r>
      <w:r w:rsidR="00DB4367">
        <w:rPr>
          <w:sz w:val="24"/>
          <w:szCs w:val="24"/>
          <w:lang w:val="pt-BR"/>
        </w:rPr>
        <w:t>s</w:t>
      </w:r>
      <w:r>
        <w:rPr>
          <w:sz w:val="24"/>
          <w:szCs w:val="24"/>
          <w:lang w:val="pt-BR"/>
        </w:rPr>
        <w:t xml:space="preserve"> possíve</w:t>
      </w:r>
      <w:r w:rsidR="00DB4367">
        <w:rPr>
          <w:sz w:val="24"/>
          <w:szCs w:val="24"/>
          <w:lang w:val="pt-BR"/>
        </w:rPr>
        <w:t>is</w:t>
      </w:r>
      <w:r>
        <w:rPr>
          <w:sz w:val="24"/>
          <w:szCs w:val="24"/>
          <w:lang w:val="pt-BR"/>
        </w:rPr>
        <w:t xml:space="preserve"> para o processo de descolonização do ambiente universitário e seus modos de </w:t>
      </w:r>
      <w:r>
        <w:rPr>
          <w:sz w:val="24"/>
          <w:szCs w:val="24"/>
          <w:lang w:val="pt-BR"/>
        </w:rPr>
        <w:lastRenderedPageBreak/>
        <w:t>pesquisar.</w:t>
      </w:r>
    </w:p>
    <w:p w14:paraId="35E365AB" w14:textId="77777777" w:rsidR="0079274B" w:rsidRDefault="0079274B">
      <w:pPr>
        <w:pStyle w:val="normal1"/>
        <w:widowControl w:val="0"/>
        <w:spacing w:line="360" w:lineRule="auto"/>
        <w:jc w:val="both"/>
        <w:rPr>
          <w:sz w:val="24"/>
          <w:szCs w:val="24"/>
          <w:lang w:val="pt-BR"/>
        </w:rPr>
      </w:pPr>
    </w:p>
    <w:p w14:paraId="6FC01873" w14:textId="77777777" w:rsidR="0079274B" w:rsidRDefault="00000000">
      <w:pPr>
        <w:pStyle w:val="normal1"/>
        <w:keepLines/>
        <w:widowControl w:val="0"/>
        <w:spacing w:line="360" w:lineRule="auto"/>
        <w:jc w:val="both"/>
        <w:rPr>
          <w:lang w:val="pt-BR"/>
        </w:rPr>
      </w:pPr>
      <w:r>
        <w:rPr>
          <w:b/>
          <w:bCs/>
          <w:sz w:val="24"/>
          <w:szCs w:val="24"/>
          <w:lang w:val="pt-BR"/>
        </w:rPr>
        <w:t>PALAVRAS-CHAVE</w:t>
      </w:r>
    </w:p>
    <w:p w14:paraId="3776F0FC" w14:textId="6C7AFEC5" w:rsidR="0079274B" w:rsidRDefault="00000000">
      <w:pPr>
        <w:pStyle w:val="normal1"/>
        <w:keepLines/>
        <w:widowControl w:val="0"/>
        <w:spacing w:line="360" w:lineRule="auto"/>
        <w:jc w:val="both"/>
        <w:rPr>
          <w:lang w:val="pt-BR"/>
        </w:rPr>
      </w:pPr>
      <w:r>
        <w:rPr>
          <w:lang w:val="pt-BR"/>
        </w:rPr>
        <w:t>Escrita outra; pesquisa dialógica; investigação acadêmica</w:t>
      </w:r>
      <w:r w:rsidR="008D09FA">
        <w:rPr>
          <w:lang w:val="pt-BR"/>
        </w:rPr>
        <w:t>.</w:t>
      </w:r>
      <w:r>
        <w:rPr>
          <w:lang w:val="pt-BR"/>
        </w:rPr>
        <w:t xml:space="preserve"> </w:t>
      </w:r>
    </w:p>
    <w:p w14:paraId="6907BB1A" w14:textId="77777777" w:rsidR="0079274B" w:rsidRDefault="0079274B">
      <w:pPr>
        <w:pStyle w:val="normal1"/>
        <w:keepLines/>
        <w:widowControl w:val="0"/>
        <w:spacing w:line="240" w:lineRule="auto"/>
        <w:rPr>
          <w:b/>
          <w:bCs/>
          <w:sz w:val="24"/>
          <w:szCs w:val="24"/>
          <w:lang w:val="pt-BR"/>
        </w:rPr>
      </w:pPr>
    </w:p>
    <w:p w14:paraId="68A1C031" w14:textId="77777777" w:rsidR="0079274B" w:rsidRDefault="00000000">
      <w:pPr>
        <w:pStyle w:val="normal1"/>
        <w:keepLines/>
        <w:widowControl w:val="0"/>
        <w:spacing w:line="240" w:lineRule="auto"/>
        <w:rPr>
          <w:lang w:val="pt-BR"/>
        </w:rPr>
      </w:pPr>
      <w:r>
        <w:rPr>
          <w:b/>
          <w:bCs/>
          <w:sz w:val="24"/>
          <w:szCs w:val="24"/>
          <w:lang w:val="pt-BR"/>
        </w:rPr>
        <w:t>REFERÊNCIAS</w:t>
      </w:r>
      <w:r>
        <w:rPr>
          <w:sz w:val="24"/>
          <w:szCs w:val="24"/>
          <w:lang w:val="pt-BR"/>
        </w:rPr>
        <w:t xml:space="preserve"> </w:t>
      </w:r>
    </w:p>
    <w:p w14:paraId="2056F949" w14:textId="77777777" w:rsidR="0079274B" w:rsidRDefault="0079274B">
      <w:pPr>
        <w:pStyle w:val="normal1"/>
        <w:keepLines/>
        <w:widowControl w:val="0"/>
        <w:spacing w:line="240" w:lineRule="auto"/>
        <w:rPr>
          <w:lang w:val="pt-BR"/>
        </w:rPr>
      </w:pPr>
    </w:p>
    <w:p w14:paraId="43A6250F" w14:textId="77777777" w:rsidR="0079274B" w:rsidRDefault="00000000">
      <w:pPr>
        <w:pStyle w:val="normal1"/>
        <w:jc w:val="both"/>
        <w:rPr>
          <w:sz w:val="24"/>
          <w:szCs w:val="24"/>
          <w:lang w:val="pt-BR"/>
        </w:rPr>
      </w:pPr>
      <w:r>
        <w:rPr>
          <w:sz w:val="24"/>
          <w:szCs w:val="24"/>
          <w:lang w:val="pt-BR"/>
        </w:rPr>
        <w:t xml:space="preserve">BENJAMIN, Walter. </w:t>
      </w:r>
      <w:r>
        <w:rPr>
          <w:i/>
          <w:iCs/>
          <w:sz w:val="24"/>
          <w:szCs w:val="24"/>
          <w:lang w:val="pt-BR"/>
        </w:rPr>
        <w:t>Origem do drama trágico alemão</w:t>
      </w:r>
      <w:r>
        <w:rPr>
          <w:sz w:val="24"/>
          <w:szCs w:val="24"/>
          <w:lang w:val="pt-BR"/>
        </w:rPr>
        <w:t>. 2. ed.; Belo Horizonte: Autêntica Editora, 2016.</w:t>
      </w:r>
    </w:p>
    <w:p w14:paraId="57E88B7C" w14:textId="77777777" w:rsidR="0079274B" w:rsidRDefault="0079274B">
      <w:pPr>
        <w:pStyle w:val="normal1"/>
        <w:rPr>
          <w:lang w:val="pt-BR"/>
        </w:rPr>
      </w:pPr>
    </w:p>
    <w:p w14:paraId="0F3C087D" w14:textId="77777777" w:rsidR="0079274B" w:rsidRDefault="00000000">
      <w:pPr>
        <w:pStyle w:val="normal1"/>
        <w:spacing w:after="200" w:line="240" w:lineRule="auto"/>
        <w:jc w:val="both"/>
        <w:rPr>
          <w:sz w:val="24"/>
          <w:szCs w:val="24"/>
          <w:lang w:val="pt-BR"/>
        </w:rPr>
      </w:pPr>
      <w:r>
        <w:rPr>
          <w:sz w:val="24"/>
          <w:szCs w:val="24"/>
          <w:lang w:val="pt-BR"/>
        </w:rPr>
        <w:t xml:space="preserve">HOOKS, Bell. </w:t>
      </w:r>
      <w:r>
        <w:rPr>
          <w:i/>
          <w:iCs/>
          <w:sz w:val="24"/>
          <w:szCs w:val="24"/>
          <w:lang w:val="pt-BR"/>
        </w:rPr>
        <w:t>Ensinando a transgredir: a educação como prática da liberdade</w:t>
      </w:r>
      <w:r>
        <w:rPr>
          <w:sz w:val="24"/>
          <w:szCs w:val="24"/>
          <w:lang w:val="pt-BR"/>
        </w:rPr>
        <w:t>. 2ª ed. São Paulo: Editora WMF Martins Fontes, 2017.</w:t>
      </w:r>
    </w:p>
    <w:p w14:paraId="0D1E613B" w14:textId="77777777" w:rsidR="0079274B" w:rsidRDefault="00000000">
      <w:pPr>
        <w:pStyle w:val="normal1"/>
        <w:spacing w:after="200" w:line="240" w:lineRule="auto"/>
        <w:jc w:val="both"/>
        <w:rPr>
          <w:sz w:val="24"/>
          <w:szCs w:val="24"/>
          <w:lang w:val="pt-BR"/>
        </w:rPr>
      </w:pPr>
      <w:r>
        <w:rPr>
          <w:sz w:val="24"/>
          <w:szCs w:val="24"/>
          <w:lang w:val="pt-BR"/>
        </w:rPr>
        <w:t xml:space="preserve">HOOKS, Bell. </w:t>
      </w:r>
      <w:r>
        <w:rPr>
          <w:i/>
          <w:iCs/>
          <w:sz w:val="24"/>
          <w:szCs w:val="24"/>
          <w:lang w:val="pt-BR"/>
        </w:rPr>
        <w:t>Ensinando comunidade</w:t>
      </w:r>
      <w:r>
        <w:rPr>
          <w:sz w:val="24"/>
          <w:szCs w:val="24"/>
          <w:lang w:val="pt-BR"/>
        </w:rPr>
        <w:t xml:space="preserve">: </w:t>
      </w:r>
      <w:r>
        <w:rPr>
          <w:i/>
          <w:iCs/>
          <w:sz w:val="24"/>
          <w:szCs w:val="24"/>
          <w:lang w:val="pt-BR"/>
        </w:rPr>
        <w:t>uma pedagogia da esperança</w:t>
      </w:r>
      <w:r>
        <w:rPr>
          <w:sz w:val="24"/>
          <w:szCs w:val="24"/>
          <w:lang w:val="pt-BR"/>
        </w:rPr>
        <w:t>. São Paulo: Elefante, 2021.</w:t>
      </w:r>
    </w:p>
    <w:p w14:paraId="6184C24A" w14:textId="77777777" w:rsidR="0079274B" w:rsidRDefault="00000000">
      <w:pPr>
        <w:pStyle w:val="normal1"/>
        <w:spacing w:after="200" w:line="240" w:lineRule="auto"/>
        <w:jc w:val="both"/>
        <w:rPr>
          <w:sz w:val="24"/>
          <w:szCs w:val="24"/>
          <w:lang w:val="pt-BR"/>
        </w:rPr>
      </w:pPr>
      <w:r>
        <w:rPr>
          <w:sz w:val="24"/>
          <w:szCs w:val="24"/>
          <w:lang w:val="pt-BR"/>
        </w:rPr>
        <w:t xml:space="preserve">KRENAK, Ailton. </w:t>
      </w:r>
      <w:r>
        <w:rPr>
          <w:i/>
          <w:iCs/>
          <w:sz w:val="24"/>
          <w:szCs w:val="24"/>
          <w:lang w:val="pt-BR"/>
        </w:rPr>
        <w:t>Ideias para adiar o fim do mundo</w:t>
      </w:r>
      <w:r>
        <w:rPr>
          <w:sz w:val="24"/>
          <w:szCs w:val="24"/>
          <w:lang w:val="pt-BR"/>
        </w:rPr>
        <w:t>. 2ª ed. São Paulo: Companhia das Letras, 2020.</w:t>
      </w:r>
    </w:p>
    <w:p w14:paraId="3D1E7104" w14:textId="77777777" w:rsidR="0079274B" w:rsidRPr="008D09FA" w:rsidRDefault="00000000">
      <w:pPr>
        <w:pStyle w:val="normal1"/>
        <w:spacing w:after="200" w:line="240" w:lineRule="auto"/>
        <w:jc w:val="both"/>
        <w:rPr>
          <w:sz w:val="24"/>
          <w:szCs w:val="24"/>
          <w:lang w:val="es-419"/>
        </w:rPr>
      </w:pPr>
      <w:r>
        <w:rPr>
          <w:sz w:val="24"/>
          <w:szCs w:val="24"/>
          <w:lang w:val="pt-BR"/>
        </w:rPr>
        <w:t xml:space="preserve">NÓVOA, António. Para uma formação de professores construída dentro da profissão. </w:t>
      </w:r>
      <w:r w:rsidRPr="008D09FA">
        <w:rPr>
          <w:i/>
          <w:iCs/>
          <w:sz w:val="24"/>
          <w:szCs w:val="24"/>
          <w:lang w:val="es-419"/>
        </w:rPr>
        <w:t>Revista Educación</w:t>
      </w:r>
      <w:r w:rsidRPr="008D09FA">
        <w:rPr>
          <w:sz w:val="24"/>
          <w:szCs w:val="24"/>
          <w:lang w:val="es-419"/>
        </w:rPr>
        <w:t xml:space="preserve">, Madrid, n. 350, p. 203-218, set./dez. 2009. </w:t>
      </w:r>
    </w:p>
    <w:p w14:paraId="53E28204" w14:textId="77777777" w:rsidR="0079274B" w:rsidRDefault="00000000">
      <w:pPr>
        <w:pStyle w:val="normal1"/>
        <w:spacing w:after="200" w:line="240" w:lineRule="auto"/>
        <w:jc w:val="both"/>
        <w:rPr>
          <w:sz w:val="24"/>
          <w:szCs w:val="24"/>
          <w:lang w:val="pt-BR"/>
        </w:rPr>
      </w:pPr>
      <w:r w:rsidRPr="008D09FA">
        <w:rPr>
          <w:sz w:val="24"/>
          <w:szCs w:val="24"/>
          <w:lang w:val="es-419"/>
        </w:rPr>
        <w:t xml:space="preserve">PETRUCCI-ROSA, Maria Inês </w:t>
      </w:r>
      <w:r w:rsidRPr="008D09FA">
        <w:rPr>
          <w:i/>
          <w:iCs/>
          <w:sz w:val="24"/>
          <w:szCs w:val="24"/>
          <w:lang w:val="es-419"/>
        </w:rPr>
        <w:t>et al</w:t>
      </w:r>
      <w:r w:rsidRPr="008D09FA">
        <w:rPr>
          <w:sz w:val="24"/>
          <w:szCs w:val="24"/>
          <w:lang w:val="es-419"/>
        </w:rPr>
        <w:t xml:space="preserve">. </w:t>
      </w:r>
      <w:r>
        <w:rPr>
          <w:sz w:val="24"/>
          <w:szCs w:val="24"/>
          <w:lang w:val="pt-BR"/>
        </w:rPr>
        <w:t xml:space="preserve">Narrativas e mônadas: potencialidades para uma outra compreensão de currículo. </w:t>
      </w:r>
      <w:r>
        <w:rPr>
          <w:i/>
          <w:iCs/>
          <w:sz w:val="24"/>
          <w:szCs w:val="24"/>
          <w:lang w:val="pt-BR"/>
        </w:rPr>
        <w:t>Currículo sem Fronteiras</w:t>
      </w:r>
      <w:r>
        <w:rPr>
          <w:sz w:val="24"/>
          <w:szCs w:val="24"/>
          <w:lang w:val="pt-BR"/>
        </w:rPr>
        <w:t>, v.11, n.1, pp.198-217, Jan/Jun 2011.</w:t>
      </w:r>
    </w:p>
    <w:p w14:paraId="33A2ABF2" w14:textId="77777777" w:rsidR="0079274B" w:rsidRDefault="00000000">
      <w:pPr>
        <w:pStyle w:val="normal1"/>
        <w:spacing w:after="200" w:line="240" w:lineRule="auto"/>
        <w:jc w:val="both"/>
        <w:rPr>
          <w:sz w:val="24"/>
          <w:szCs w:val="24"/>
          <w:lang w:val="pt-BR"/>
        </w:rPr>
      </w:pPr>
      <w:r>
        <w:rPr>
          <w:sz w:val="24"/>
          <w:szCs w:val="24"/>
          <w:lang w:val="pt-BR"/>
        </w:rPr>
        <w:t xml:space="preserve">RAMÔA, Hosana do N. </w:t>
      </w:r>
      <w:r>
        <w:rPr>
          <w:i/>
          <w:iCs/>
          <w:sz w:val="24"/>
          <w:szCs w:val="24"/>
          <w:lang w:val="pt-BR"/>
        </w:rPr>
        <w:t>Encontros com a corp(o)ralidade: narrativa, presença &amp; performance docente nas aulas de História da educação básica</w:t>
      </w:r>
      <w:r>
        <w:rPr>
          <w:sz w:val="24"/>
          <w:szCs w:val="24"/>
          <w:lang w:val="pt-BR"/>
        </w:rPr>
        <w:t>. Tese de doutorado. Universidade Federal Fluminense, Niterói, 2024.</w:t>
      </w:r>
    </w:p>
    <w:p w14:paraId="02AB2A40" w14:textId="77777777" w:rsidR="0079274B" w:rsidRDefault="00000000">
      <w:pPr>
        <w:pStyle w:val="normal1"/>
        <w:spacing w:after="200" w:line="240" w:lineRule="auto"/>
        <w:jc w:val="both"/>
        <w:rPr>
          <w:sz w:val="24"/>
          <w:szCs w:val="24"/>
          <w:lang w:val="pt-BR"/>
        </w:rPr>
      </w:pPr>
      <w:r>
        <w:rPr>
          <w:sz w:val="24"/>
          <w:szCs w:val="24"/>
          <w:lang w:val="pt-BR"/>
        </w:rPr>
        <w:t xml:space="preserve">TARDIF, Maurice. </w:t>
      </w:r>
      <w:r>
        <w:rPr>
          <w:i/>
          <w:iCs/>
          <w:sz w:val="24"/>
          <w:szCs w:val="24"/>
          <w:lang w:val="pt-BR"/>
        </w:rPr>
        <w:t>Saberes docentes e formação profissional</w:t>
      </w:r>
      <w:r>
        <w:rPr>
          <w:sz w:val="24"/>
          <w:szCs w:val="24"/>
          <w:lang w:val="pt-BR"/>
        </w:rPr>
        <w:t>. Petrópolis, RJ: Vozes, 2014.</w:t>
      </w:r>
    </w:p>
    <w:sectPr w:rsidR="0079274B">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A779F" w14:textId="77777777" w:rsidR="00D7791D" w:rsidRDefault="00D7791D">
      <w:pPr>
        <w:spacing w:line="240" w:lineRule="auto"/>
      </w:pPr>
      <w:r>
        <w:separator/>
      </w:r>
    </w:p>
  </w:endnote>
  <w:endnote w:type="continuationSeparator" w:id="0">
    <w:p w14:paraId="0D9DD591" w14:textId="77777777" w:rsidR="00D7791D" w:rsidRDefault="00D779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roman"/>
    <w:notTrueType/>
    <w:pitch w:val="default"/>
    <w:embedRegular r:id="rId1" w:fontKey="{07A298C0-8D87-47FA-9189-2AE60E7910C9}"/>
    <w:embedItalic r:id="rId2" w:fontKey="{E19C9B81-49B1-4CA9-A2E4-5D0DB0458626}"/>
  </w:font>
  <w:font w:name="Liberation Sans">
    <w:altName w:val="Arial"/>
    <w:charset w:val="00"/>
    <w:family w:val="swiss"/>
    <w:pitch w:val="variable"/>
    <w:embedRegular r:id="rId3" w:fontKey="{BB288DF7-2EA3-452C-A48A-46D7E3CD4A5B}"/>
  </w:font>
  <w:font w:name="Microsoft YaHei">
    <w:panose1 w:val="020B0503020204020204"/>
    <w:charset w:val="00"/>
    <w:family w:val="roman"/>
    <w:notTrueType/>
    <w:pitch w:val="default"/>
    <w:embedRegular r:id="rId4" w:fontKey="{7188A785-65E9-44C4-B4D0-43547A2EC9F7}"/>
  </w:font>
  <w:font w:name="Calibri">
    <w:panose1 w:val="020F0502020204030204"/>
    <w:charset w:val="00"/>
    <w:family w:val="swiss"/>
    <w:pitch w:val="variable"/>
    <w:sig w:usb0="E4002EFF" w:usb1="C200247B" w:usb2="00000009" w:usb3="00000000" w:csb0="000001FF" w:csb1="00000000"/>
    <w:embedRegular r:id="rId5" w:fontKey="{B309557B-289F-49A3-8BFF-86100C2867AF}"/>
  </w:font>
  <w:font w:name="Cambria">
    <w:panose1 w:val="02040503050406030204"/>
    <w:charset w:val="00"/>
    <w:family w:val="roman"/>
    <w:pitch w:val="variable"/>
    <w:sig w:usb0="E00006FF" w:usb1="420024FF" w:usb2="02000000" w:usb3="00000000" w:csb0="0000019F" w:csb1="00000000"/>
    <w:embedRegular r:id="rId6" w:fontKey="{90183B1F-E28B-4AD9-95F6-51BE1852F0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DBC2" w14:textId="77777777" w:rsidR="0079274B" w:rsidRDefault="0079274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DD909" w14:textId="77777777" w:rsidR="0079274B" w:rsidRDefault="00000000">
    <w:pPr>
      <w:pStyle w:val="normal1"/>
      <w:jc w:val="center"/>
    </w:pPr>
    <w:r>
      <w:fldChar w:fldCharType="begin"/>
    </w:r>
    <w:r>
      <w:instrText xml:space="preserve"> PAGE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950C" w14:textId="77777777" w:rsidR="0079274B" w:rsidRDefault="00000000">
    <w:pPr>
      <w:pStyle w:val="normal1"/>
      <w:jc w:val="center"/>
    </w:pPr>
    <w:r>
      <w:fldChar w:fldCharType="begin"/>
    </w:r>
    <w:r>
      <w:instrText xml:space="preserve"> PAGE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06882" w14:textId="77777777" w:rsidR="00D7791D" w:rsidRDefault="00D7791D">
      <w:pPr>
        <w:spacing w:line="240" w:lineRule="auto"/>
      </w:pPr>
      <w:r>
        <w:separator/>
      </w:r>
    </w:p>
  </w:footnote>
  <w:footnote w:type="continuationSeparator" w:id="0">
    <w:p w14:paraId="3B3576C6" w14:textId="77777777" w:rsidR="00D7791D" w:rsidRDefault="00D779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94CD" w14:textId="77777777" w:rsidR="0079274B" w:rsidRDefault="0079274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A5F7" w14:textId="77777777" w:rsidR="0079274B" w:rsidRDefault="00000000">
    <w:pPr>
      <w:pStyle w:val="normal1"/>
      <w:jc w:val="right"/>
    </w:pPr>
    <w:r>
      <w:rPr>
        <w:noProof/>
      </w:rPr>
      <w:drawing>
        <wp:anchor distT="0" distB="0" distL="0" distR="0" simplePos="0" relativeHeight="251655168" behindDoc="1" locked="0" layoutInCell="1" allowOverlap="1" wp14:anchorId="26379FB6" wp14:editId="3EF6C6DC">
          <wp:simplePos x="0" y="0"/>
          <wp:positionH relativeFrom="column">
            <wp:posOffset>5000625</wp:posOffset>
          </wp:positionH>
          <wp:positionV relativeFrom="paragraph">
            <wp:posOffset>8886825</wp:posOffset>
          </wp:positionV>
          <wp:extent cx="1700530" cy="170053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1700530" cy="1700530"/>
                  </a:xfrm>
                  <a:prstGeom prst="rect">
                    <a:avLst/>
                  </a:prstGeom>
                  <a:noFill/>
                </pic:spPr>
              </pic:pic>
            </a:graphicData>
          </a:graphic>
        </wp:anchor>
      </w:drawing>
    </w:r>
    <w:r>
      <w:rPr>
        <w:noProof/>
      </w:rPr>
      <w:drawing>
        <wp:anchor distT="0" distB="0" distL="0" distR="0" simplePos="0" relativeHeight="251657216" behindDoc="1" locked="0" layoutInCell="1" allowOverlap="1" wp14:anchorId="1C37B32D" wp14:editId="1FE1833E">
          <wp:simplePos x="0" y="0"/>
          <wp:positionH relativeFrom="column">
            <wp:posOffset>5791200</wp:posOffset>
          </wp:positionH>
          <wp:positionV relativeFrom="paragraph">
            <wp:posOffset>-304800</wp:posOffset>
          </wp:positionV>
          <wp:extent cx="664845" cy="762000"/>
          <wp:effectExtent l="0" t="0" r="0" b="0"/>
          <wp:wrapNone/>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2"/>
                  <a:srcRect t="236" b="236"/>
                  <a:stretch>
                    <a:fillRect/>
                  </a:stretch>
                </pic:blipFill>
                <pic:spPr bwMode="auto">
                  <a:xfrm>
                    <a:off x="0" y="0"/>
                    <a:ext cx="664845" cy="762000"/>
                  </a:xfrm>
                  <a:prstGeom prst="rect">
                    <a:avLst/>
                  </a:prstGeom>
                  <a:noFill/>
                </pic:spPr>
              </pic:pic>
            </a:graphicData>
          </a:graphic>
        </wp:anchor>
      </w:drawing>
    </w:r>
  </w:p>
  <w:p w14:paraId="38D7F921" w14:textId="77777777" w:rsidR="0079274B" w:rsidRDefault="0079274B">
    <w:pPr>
      <w:pStyle w:val="normal1"/>
      <w:jc w:val="right"/>
    </w:pPr>
  </w:p>
  <w:p w14:paraId="507D3F54" w14:textId="77777777" w:rsidR="0079274B" w:rsidRDefault="0079274B">
    <w:pPr>
      <w:pStyle w:val="normal1"/>
      <w:jc w:val="right"/>
    </w:pPr>
  </w:p>
  <w:p w14:paraId="6FF35945" w14:textId="77777777" w:rsidR="0079274B" w:rsidRDefault="00000000">
    <w:pPr>
      <w:pStyle w:val="normal1"/>
    </w:pPr>
    <w:r>
      <w:rPr>
        <w:noProof/>
      </w:rPr>
      <w:drawing>
        <wp:anchor distT="0" distB="0" distL="0" distR="0" simplePos="0" relativeHeight="251659264" behindDoc="1" locked="0" layoutInCell="0" allowOverlap="1" wp14:anchorId="29749659" wp14:editId="78B8B057">
          <wp:simplePos x="0" y="0"/>
          <wp:positionH relativeFrom="page">
            <wp:posOffset>0</wp:posOffset>
          </wp:positionH>
          <wp:positionV relativeFrom="page">
            <wp:posOffset>-5715</wp:posOffset>
          </wp:positionV>
          <wp:extent cx="415925" cy="1071626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3"/>
                  <a:stretch>
                    <a:fillRect/>
                  </a:stretch>
                </pic:blipFill>
                <pic:spPr bwMode="auto">
                  <a:xfrm>
                    <a:off x="0" y="0"/>
                    <a:ext cx="415925" cy="1071626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F3FB5" w14:textId="77777777" w:rsidR="0079274B" w:rsidRDefault="00000000">
    <w:pPr>
      <w:pStyle w:val="normal1"/>
      <w:jc w:val="right"/>
    </w:pPr>
    <w:r>
      <w:rPr>
        <w:noProof/>
      </w:rPr>
      <w:drawing>
        <wp:anchor distT="0" distB="0" distL="0" distR="0" simplePos="0" relativeHeight="251656192" behindDoc="1" locked="0" layoutInCell="1" allowOverlap="1" wp14:anchorId="6051FBE7" wp14:editId="4439C853">
          <wp:simplePos x="0" y="0"/>
          <wp:positionH relativeFrom="column">
            <wp:posOffset>5000625</wp:posOffset>
          </wp:positionH>
          <wp:positionV relativeFrom="paragraph">
            <wp:posOffset>8886825</wp:posOffset>
          </wp:positionV>
          <wp:extent cx="1700530" cy="1700530"/>
          <wp:effectExtent l="0" t="0" r="0" b="0"/>
          <wp:wrapNone/>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noChangeArrowheads="1"/>
                  </pic:cNvPicPr>
                </pic:nvPicPr>
                <pic:blipFill>
                  <a:blip r:embed="rId1"/>
                  <a:stretch>
                    <a:fillRect/>
                  </a:stretch>
                </pic:blipFill>
                <pic:spPr bwMode="auto">
                  <a:xfrm>
                    <a:off x="0" y="0"/>
                    <a:ext cx="1700530" cy="1700530"/>
                  </a:xfrm>
                  <a:prstGeom prst="rect">
                    <a:avLst/>
                  </a:prstGeom>
                  <a:noFill/>
                </pic:spPr>
              </pic:pic>
            </a:graphicData>
          </a:graphic>
        </wp:anchor>
      </w:drawing>
    </w:r>
    <w:r>
      <w:rPr>
        <w:noProof/>
      </w:rPr>
      <w:drawing>
        <wp:anchor distT="0" distB="0" distL="0" distR="0" simplePos="0" relativeHeight="251658240" behindDoc="1" locked="0" layoutInCell="1" allowOverlap="1" wp14:anchorId="77C6F835" wp14:editId="272D0437">
          <wp:simplePos x="0" y="0"/>
          <wp:positionH relativeFrom="column">
            <wp:posOffset>5791200</wp:posOffset>
          </wp:positionH>
          <wp:positionV relativeFrom="paragraph">
            <wp:posOffset>-304800</wp:posOffset>
          </wp:positionV>
          <wp:extent cx="664845" cy="76200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noChangeArrowheads="1"/>
                  </pic:cNvPicPr>
                </pic:nvPicPr>
                <pic:blipFill>
                  <a:blip r:embed="rId2"/>
                  <a:srcRect t="236" b="236"/>
                  <a:stretch>
                    <a:fillRect/>
                  </a:stretch>
                </pic:blipFill>
                <pic:spPr bwMode="auto">
                  <a:xfrm>
                    <a:off x="0" y="0"/>
                    <a:ext cx="664845" cy="762000"/>
                  </a:xfrm>
                  <a:prstGeom prst="rect">
                    <a:avLst/>
                  </a:prstGeom>
                  <a:noFill/>
                </pic:spPr>
              </pic:pic>
            </a:graphicData>
          </a:graphic>
        </wp:anchor>
      </w:drawing>
    </w:r>
  </w:p>
  <w:p w14:paraId="525BB8B4" w14:textId="77777777" w:rsidR="0079274B" w:rsidRDefault="0079274B">
    <w:pPr>
      <w:pStyle w:val="normal1"/>
      <w:jc w:val="right"/>
    </w:pPr>
  </w:p>
  <w:p w14:paraId="23C9A2D7" w14:textId="77777777" w:rsidR="0079274B" w:rsidRDefault="0079274B">
    <w:pPr>
      <w:pStyle w:val="normal1"/>
      <w:jc w:val="right"/>
    </w:pPr>
  </w:p>
  <w:p w14:paraId="0978D698" w14:textId="77777777" w:rsidR="0079274B" w:rsidRDefault="00000000">
    <w:pPr>
      <w:pStyle w:val="normal1"/>
    </w:pPr>
    <w:r>
      <w:rPr>
        <w:noProof/>
      </w:rPr>
      <w:drawing>
        <wp:anchor distT="0" distB="0" distL="0" distR="0" simplePos="0" relativeHeight="251660288" behindDoc="1" locked="0" layoutInCell="0" allowOverlap="1" wp14:anchorId="0507684F" wp14:editId="08394644">
          <wp:simplePos x="0" y="0"/>
          <wp:positionH relativeFrom="page">
            <wp:posOffset>0</wp:posOffset>
          </wp:positionH>
          <wp:positionV relativeFrom="page">
            <wp:posOffset>-5715</wp:posOffset>
          </wp:positionV>
          <wp:extent cx="415925" cy="10716260"/>
          <wp:effectExtent l="0" t="0" r="0" b="0"/>
          <wp:wrapNone/>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a:picLocks noChangeAspect="1" noChangeArrowheads="1"/>
                  </pic:cNvPicPr>
                </pic:nvPicPr>
                <pic:blipFill>
                  <a:blip r:embed="rId3"/>
                  <a:stretch>
                    <a:fillRect/>
                  </a:stretch>
                </pic:blipFill>
                <pic:spPr bwMode="auto">
                  <a:xfrm>
                    <a:off x="0" y="0"/>
                    <a:ext cx="415925" cy="10716260"/>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79274B"/>
    <w:rsid w:val="00142FF8"/>
    <w:rsid w:val="00195222"/>
    <w:rsid w:val="001C1753"/>
    <w:rsid w:val="003F4346"/>
    <w:rsid w:val="0079274B"/>
    <w:rsid w:val="007D3A98"/>
    <w:rsid w:val="008D09FA"/>
    <w:rsid w:val="00A26752"/>
    <w:rsid w:val="00BC03E4"/>
    <w:rsid w:val="00C4738F"/>
    <w:rsid w:val="00D05CB7"/>
    <w:rsid w:val="00D7791D"/>
    <w:rsid w:val="00DB4367"/>
    <w:rsid w:val="00E568CB"/>
    <w:rsid w:val="00E8115D"/>
    <w:rsid w:val="00E91C14"/>
    <w:rsid w:val="00FF7CC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88697"/>
  <w15:docId w15:val="{7203C13D-8563-4656-882D-DBF337F64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Ttulo1">
    <w:name w:val="heading 1"/>
    <w:basedOn w:val="normal1"/>
    <w:next w:val="normal1"/>
    <w:uiPriority w:val="9"/>
    <w:qFormat/>
    <w:pPr>
      <w:keepNext/>
      <w:keepLines/>
      <w:spacing w:before="400" w:after="120" w:line="240" w:lineRule="auto"/>
      <w:outlineLvl w:val="0"/>
    </w:pPr>
    <w:rPr>
      <w:sz w:val="40"/>
      <w:szCs w:val="40"/>
    </w:rPr>
  </w:style>
  <w:style w:type="paragraph" w:styleId="Ttulo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Ttulo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Ttulo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Ttulo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Ttulo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1"/>
    <w:next w:val="Corpodetexto"/>
    <w:uiPriority w:val="10"/>
    <w:qFormat/>
    <w:pPr>
      <w:keepNext/>
      <w:keepLines/>
      <w:spacing w:after="60" w:line="240" w:lineRule="auto"/>
    </w:pPr>
    <w:rPr>
      <w:sz w:val="52"/>
      <w:szCs w:val="52"/>
    </w:rPr>
  </w:style>
  <w:style w:type="paragraph" w:styleId="Corpodetexto">
    <w:name w:val="Body Text"/>
    <w:basedOn w:val="Normal"/>
    <w:pPr>
      <w:spacing w:after="140"/>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Corpodetexto"/>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normal1">
    <w:name w:val="normal1"/>
    <w:qFormat/>
    <w:pPr>
      <w:spacing w:line="276" w:lineRule="auto"/>
    </w:pPr>
  </w:style>
  <w:style w:type="paragraph" w:styleId="Subttulo">
    <w:name w:val="Subtitle"/>
    <w:basedOn w:val="normal1"/>
    <w:next w:val="normal1"/>
    <w:uiPriority w:val="11"/>
    <w:qFormat/>
    <w:pPr>
      <w:keepNext/>
      <w:keepLines/>
      <w:spacing w:after="320" w:line="240" w:lineRule="auto"/>
    </w:pPr>
    <w:rPr>
      <w:color w:val="666666"/>
      <w:sz w:val="30"/>
      <w:szCs w:val="30"/>
    </w:rPr>
  </w:style>
  <w:style w:type="paragraph" w:customStyle="1" w:styleId="Cabealhoerodapuser">
    <w:name w:val="Cabeçalho e rodapé (user)"/>
    <w:basedOn w:val="Normal"/>
    <w:qFormat/>
  </w:style>
  <w:style w:type="paragraph" w:customStyle="1" w:styleId="Cabealhoerodap">
    <w:name w:val="Cabeçalho e rodapé"/>
    <w:basedOn w:val="Normal"/>
    <w:qFormat/>
  </w:style>
  <w:style w:type="paragraph" w:styleId="Cabealho">
    <w:name w:val="header"/>
    <w:basedOn w:val="Cabealhoerodapuser"/>
  </w:style>
  <w:style w:type="paragraph" w:styleId="Rodap">
    <w:name w:val="footer"/>
    <w:basedOn w:val="Cabealhoerodapuser"/>
  </w:style>
  <w:style w:type="paragraph" w:customStyle="1" w:styleId="Default">
    <w:name w:val="Default"/>
    <w:qFormat/>
    <w:pPr>
      <w:spacing w:line="276" w:lineRule="auto"/>
    </w:pPr>
    <w:rPr>
      <w:rFonts w:ascii="Times New Roman" w:hAnsi="Times New Roman"/>
      <w:color w:val="000000"/>
      <w:sz w:val="24"/>
    </w:rPr>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806</TotalTime>
  <Pages>4</Pages>
  <Words>1213</Words>
  <Characters>6952</Characters>
  <Application>Microsoft Office Word</Application>
  <DocSecurity>0</DocSecurity>
  <Lines>131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Hosana Ramôa</dc:creator>
  <dc:description/>
  <cp:lastModifiedBy>Hosana Ramôa</cp:lastModifiedBy>
  <cp:revision>136</cp:revision>
  <dcterms:created xsi:type="dcterms:W3CDTF">2024-03-25T16:32:00Z</dcterms:created>
  <dcterms:modified xsi:type="dcterms:W3CDTF">2026-08-15T17:27:00Z</dcterms:modified>
  <dc:language>pt-BR</dc:language>
</cp:coreProperties>
</file>