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AD17CA" w14:textId="77777777" w:rsidR="00E125EA" w:rsidRPr="00E125EA" w:rsidRDefault="00E125EA" w:rsidP="00E8668D">
      <w:pPr>
        <w:spacing w:before="100" w:beforeAutospacing="1" w:after="100" w:afterAutospacing="1" w:line="240" w:lineRule="auto"/>
        <w:jc w:val="center"/>
        <w:outlineLvl w:val="1"/>
        <w:rPr>
          <w:rFonts w:eastAsia="Times New Roman"/>
          <w:b/>
          <w:bCs/>
          <w:sz w:val="24"/>
          <w:szCs w:val="24"/>
        </w:rPr>
      </w:pPr>
      <w:bookmarkStart w:id="0" w:name="_Hlk237694917"/>
      <w:bookmarkStart w:id="1" w:name="_Hlk237702357"/>
      <w:r w:rsidRPr="00E125EA">
        <w:rPr>
          <w:rFonts w:eastAsia="Times New Roman"/>
          <w:b/>
          <w:bCs/>
          <w:sz w:val="24"/>
          <w:szCs w:val="24"/>
        </w:rPr>
        <w:t>CONVERSATÓRIO 03 – ETNOCENOLOGIA, EDUCAÇÃO E O SÉCULO XXI: NOVOS LÉXICOS, LOCAIS DE FALA E SUAS RELAÇÕES DECOLONIAIS</w:t>
      </w:r>
    </w:p>
    <w:p w14:paraId="779B42B3" w14:textId="77777777" w:rsidR="00E125EA" w:rsidRDefault="00E125EA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6C3B0279" w14:textId="579D3EA4" w:rsidR="00E125EA" w:rsidRPr="00E125EA" w:rsidRDefault="00E125EA" w:rsidP="00E125EA">
      <w:pPr>
        <w:spacing w:before="100" w:beforeAutospacing="1" w:after="100" w:afterAutospacing="1" w:line="240" w:lineRule="auto"/>
        <w:jc w:val="center"/>
        <w:outlineLvl w:val="2"/>
        <w:rPr>
          <w:rFonts w:eastAsia="Times New Roman"/>
          <w:b/>
          <w:bCs/>
          <w:sz w:val="24"/>
          <w:szCs w:val="24"/>
        </w:rPr>
      </w:pPr>
      <w:r w:rsidRPr="00E125EA">
        <w:rPr>
          <w:rFonts w:eastAsia="Times New Roman"/>
          <w:b/>
          <w:bCs/>
          <w:sz w:val="24"/>
          <w:szCs w:val="24"/>
        </w:rPr>
        <w:t xml:space="preserve">Da experiência à proposição de acontecimentos cênico-brincantes: </w:t>
      </w:r>
      <w:r>
        <w:rPr>
          <w:rFonts w:eastAsia="Times New Roman"/>
          <w:b/>
          <w:bCs/>
          <w:sz w:val="24"/>
          <w:szCs w:val="24"/>
        </w:rPr>
        <w:t xml:space="preserve">diálogos com </w:t>
      </w:r>
      <w:r w:rsidRPr="00E125EA">
        <w:rPr>
          <w:rFonts w:eastAsia="Times New Roman"/>
          <w:b/>
          <w:bCs/>
          <w:i/>
          <w:iCs/>
          <w:sz w:val="24"/>
          <w:szCs w:val="24"/>
        </w:rPr>
        <w:t>A dança de Ayó</w:t>
      </w:r>
      <w:r>
        <w:rPr>
          <w:rFonts w:eastAsia="Times New Roman"/>
          <w:b/>
          <w:bCs/>
          <w:sz w:val="24"/>
          <w:szCs w:val="24"/>
        </w:rPr>
        <w:t xml:space="preserve">, </w:t>
      </w:r>
      <w:r w:rsidRPr="00E125EA">
        <w:rPr>
          <w:rFonts w:eastAsia="Times New Roman"/>
          <w:b/>
          <w:bCs/>
          <w:sz w:val="24"/>
          <w:szCs w:val="24"/>
        </w:rPr>
        <w:t>Etnocenologia</w:t>
      </w:r>
      <w:r w:rsidR="008B18CD">
        <w:rPr>
          <w:rFonts w:eastAsia="Times New Roman"/>
          <w:b/>
          <w:bCs/>
          <w:sz w:val="24"/>
          <w:szCs w:val="24"/>
        </w:rPr>
        <w:t xml:space="preserve"> e</w:t>
      </w:r>
      <w:r w:rsidR="003739D1">
        <w:rPr>
          <w:rFonts w:eastAsia="Times New Roman"/>
          <w:b/>
          <w:bCs/>
          <w:sz w:val="24"/>
          <w:szCs w:val="24"/>
        </w:rPr>
        <w:t xml:space="preserve"> a Roda</w:t>
      </w:r>
    </w:p>
    <w:p w14:paraId="2594C3CF" w14:textId="77777777" w:rsidR="00E125EA" w:rsidRDefault="00E125EA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1ED7E986" w14:textId="636733A5" w:rsidR="006224DD" w:rsidRDefault="009231C5" w:rsidP="008312CB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Cláudia Teixeira do Nascimento</w:t>
      </w:r>
      <w:r w:rsidR="00A36746">
        <w:rPr>
          <w:rStyle w:val="Refdenotaderodap"/>
          <w:sz w:val="24"/>
          <w:szCs w:val="24"/>
        </w:rPr>
        <w:footnoteReference w:id="1"/>
      </w:r>
      <w:r w:rsidR="008312CB">
        <w:rPr>
          <w:sz w:val="24"/>
          <w:szCs w:val="24"/>
        </w:rPr>
        <w:t xml:space="preserve">, </w:t>
      </w:r>
      <w:r w:rsidR="00D8044D">
        <w:rPr>
          <w:sz w:val="24"/>
          <w:szCs w:val="24"/>
        </w:rPr>
        <w:t>Universidade de Brasília</w:t>
      </w:r>
      <w:r w:rsidR="008312CB">
        <w:rPr>
          <w:sz w:val="24"/>
          <w:szCs w:val="24"/>
        </w:rPr>
        <w:t>,</w:t>
      </w:r>
      <w:r w:rsidR="007B2C69">
        <w:rPr>
          <w:sz w:val="24"/>
          <w:szCs w:val="24"/>
        </w:rPr>
        <w:t xml:space="preserve"> </w:t>
      </w:r>
      <w:hyperlink r:id="rId7" w:history="1">
        <w:r w:rsidR="007B2C69" w:rsidRPr="00DC67F7">
          <w:rPr>
            <w:rStyle w:val="Hyperlink"/>
            <w:sz w:val="24"/>
            <w:szCs w:val="24"/>
          </w:rPr>
          <w:t>claudinha72@gmail.com</w:t>
        </w:r>
      </w:hyperlink>
    </w:p>
    <w:p w14:paraId="7DC980BE" w14:textId="77777777" w:rsidR="008312CB" w:rsidRDefault="008312CB" w:rsidP="008312C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1AF5C93" w14:textId="06B58C06" w:rsidR="006224DD" w:rsidRPr="008312CB" w:rsidRDefault="00E125EA" w:rsidP="008312CB">
      <w:pPr>
        <w:keepLines/>
        <w:widowControl w:val="0"/>
        <w:spacing w:line="240" w:lineRule="auto"/>
        <w:rPr>
          <w:b/>
          <w:bCs/>
          <w:sz w:val="24"/>
          <w:szCs w:val="24"/>
        </w:rPr>
      </w:pPr>
      <w:r w:rsidRPr="00E125EA">
        <w:rPr>
          <w:b/>
          <w:bCs/>
          <w:sz w:val="24"/>
          <w:szCs w:val="24"/>
        </w:rPr>
        <w:t>RESUMO</w:t>
      </w:r>
      <w:bookmarkEnd w:id="0"/>
      <w:bookmarkEnd w:id="1"/>
    </w:p>
    <w:p w14:paraId="47C0D3D1" w14:textId="77777777" w:rsidR="008312CB" w:rsidRPr="00CD3B37" w:rsidRDefault="008312CB" w:rsidP="00D83FEA">
      <w:pPr>
        <w:tabs>
          <w:tab w:val="left" w:pos="9214"/>
        </w:tabs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>Minha pesquisa de mestrado na Universidade de Brasília, pelo PROF-ARTES, parte da compreensão de que pensar a educação no século XXI exige reconhecer outros modos de produzir conhecimento, narrar experiências e compreender corpos e culturas, para além de epistemologias eurocentradas e hegemônicas. Nesse movimento, a Etnocenologia amplia o olhar para práticas culturais, artísticas, corporais, rituais, festivas e cotidianas, reconhecendo nelas formas próprias de produção de sentidos e saberes (PRADIER, 1999; BIÃO, 2009).</w:t>
      </w:r>
    </w:p>
    <w:p w14:paraId="4B8AE2CD" w14:textId="77777777" w:rsidR="008312CB" w:rsidRPr="00E125EA" w:rsidRDefault="008312CB" w:rsidP="00D83FEA">
      <w:pPr>
        <w:tabs>
          <w:tab w:val="left" w:pos="9214"/>
        </w:tabs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 xml:space="preserve">É nesse território que este trabalho propõe um diálogo entre Etnocenologia, educação e perspectivas decoloniais, tomando como interlocutora a obra </w:t>
      </w:r>
      <w:r w:rsidRPr="00E125EA">
        <w:rPr>
          <w:rFonts w:eastAsia="Times New Roman"/>
          <w:i/>
          <w:iCs/>
          <w:sz w:val="24"/>
          <w:szCs w:val="24"/>
        </w:rPr>
        <w:t>A dança de Ayó</w:t>
      </w:r>
      <w:r w:rsidRPr="00E125EA">
        <w:rPr>
          <w:rFonts w:eastAsia="Times New Roman"/>
          <w:sz w:val="24"/>
          <w:szCs w:val="24"/>
        </w:rPr>
        <w:t>, de Clarice Campos, ilustrada por Fernanda Rodrigues (2025). A narrativa apresenta Ayó em uma “roda-dança”, atravessada por manifestações culturais populares, ancestralidade, identidade, pertencimento, liberdade e protagonismo negro. Cantigas, ritmo, dança e memória aproximam palavra, corpo e movimento (CAMPOS, 2025), convidando o leitor a entrar na roda.</w:t>
      </w:r>
    </w:p>
    <w:p w14:paraId="2A2B9F33" w14:textId="77777777" w:rsidR="008312CB" w:rsidRPr="00E125EA" w:rsidRDefault="008312CB" w:rsidP="00D83FEA">
      <w:pPr>
        <w:tabs>
          <w:tab w:val="left" w:pos="9214"/>
        </w:tabs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 xml:space="preserve">A roda constitui </w:t>
      </w:r>
      <w:r w:rsidRPr="00CD3B37">
        <w:rPr>
          <w:rFonts w:eastAsia="Times New Roman"/>
          <w:sz w:val="24"/>
          <w:szCs w:val="24"/>
        </w:rPr>
        <w:t>m</w:t>
      </w:r>
      <w:r w:rsidRPr="00E125EA">
        <w:rPr>
          <w:rFonts w:eastAsia="Times New Roman"/>
          <w:sz w:val="24"/>
          <w:szCs w:val="24"/>
        </w:rPr>
        <w:t xml:space="preserve">ais que disposição espacial, possibilita encontro entre corpo, voz, escuta, movimento, memória e presença. Nela, os saberes circulam e as posições podem se deslocar: quem ensina também aprende. Essa perspectiva aproxima </w:t>
      </w:r>
      <w:r w:rsidRPr="00E125EA">
        <w:rPr>
          <w:rFonts w:eastAsia="Times New Roman"/>
          <w:i/>
          <w:iCs/>
          <w:sz w:val="24"/>
          <w:szCs w:val="24"/>
        </w:rPr>
        <w:t>A dança de Ayó</w:t>
      </w:r>
      <w:r w:rsidRPr="00E125EA">
        <w:rPr>
          <w:rFonts w:eastAsia="Times New Roman"/>
          <w:sz w:val="24"/>
          <w:szCs w:val="24"/>
        </w:rPr>
        <w:t xml:space="preserve"> dos brinquedos cantados, compreendidos como práticas culturais da infância nas quais música, palavra, movimento, corpo e interação se articulam em experiências lúdicas e coletivas (LARA; PIMENTEL; RIBEIRO, 2005).</w:t>
      </w:r>
    </w:p>
    <w:p w14:paraId="6687415D" w14:textId="77777777" w:rsidR="008312CB" w:rsidRPr="00E125EA" w:rsidRDefault="008312CB" w:rsidP="00D83FEA">
      <w:pPr>
        <w:tabs>
          <w:tab w:val="left" w:pos="9214"/>
        </w:tabs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lastRenderedPageBreak/>
        <w:t>A compreensão da ludicidade também precisa ultrapassar sua redução a recurso pedagógico. Marcellino entende o lúdico de forma abrangente, não isolado em determinada atividade, mas como componente da cultura historicamente situada (MARCELLINO, 199</w:t>
      </w:r>
      <w:r w:rsidRPr="00CD3B37">
        <w:rPr>
          <w:rFonts w:eastAsia="Times New Roman"/>
          <w:sz w:val="24"/>
          <w:szCs w:val="24"/>
        </w:rPr>
        <w:t>0</w:t>
      </w:r>
      <w:r w:rsidRPr="00E125EA">
        <w:rPr>
          <w:rFonts w:eastAsia="Times New Roman"/>
          <w:sz w:val="24"/>
          <w:szCs w:val="24"/>
        </w:rPr>
        <w:t xml:space="preserve">). Assim, cantar, brincar, dançar e jogar constituem experiências culturais produzidas e compartilhadas pelos sujeitos. </w:t>
      </w:r>
    </w:p>
    <w:p w14:paraId="6DE384D1" w14:textId="77777777" w:rsidR="008312CB" w:rsidRPr="00E125EA" w:rsidRDefault="008312CB" w:rsidP="00D83FEA">
      <w:pPr>
        <w:tabs>
          <w:tab w:val="left" w:pos="9214"/>
        </w:tabs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 xml:space="preserve">A leitura de </w:t>
      </w:r>
      <w:r w:rsidRPr="00E125EA">
        <w:rPr>
          <w:rFonts w:eastAsia="Times New Roman"/>
          <w:i/>
          <w:iCs/>
          <w:sz w:val="24"/>
          <w:szCs w:val="24"/>
        </w:rPr>
        <w:t>A dança de Ayó</w:t>
      </w:r>
      <w:r w:rsidRPr="00E125EA">
        <w:rPr>
          <w:rFonts w:eastAsia="Times New Roman"/>
          <w:sz w:val="24"/>
          <w:szCs w:val="24"/>
        </w:rPr>
        <w:t xml:space="preserve"> pode ainda ser ampliada pela noção de cosmopercepção, proposta por </w:t>
      </w:r>
      <w:proofErr w:type="spellStart"/>
      <w:r w:rsidRPr="00E125EA">
        <w:rPr>
          <w:rFonts w:eastAsia="Times New Roman"/>
          <w:sz w:val="24"/>
          <w:szCs w:val="24"/>
        </w:rPr>
        <w:t>Oyèrónkẹ</w:t>
      </w:r>
      <w:proofErr w:type="spellEnd"/>
      <w:r w:rsidRPr="00E125EA">
        <w:rPr>
          <w:rFonts w:eastAsia="Times New Roman"/>
          <w:sz w:val="24"/>
          <w:szCs w:val="24"/>
        </w:rPr>
        <w:t xml:space="preserve">́ </w:t>
      </w:r>
      <w:proofErr w:type="spellStart"/>
      <w:r w:rsidRPr="00E125EA">
        <w:rPr>
          <w:rFonts w:eastAsia="Times New Roman"/>
          <w:sz w:val="24"/>
          <w:szCs w:val="24"/>
        </w:rPr>
        <w:t>Oyěwùmí</w:t>
      </w:r>
      <w:proofErr w:type="spellEnd"/>
      <w:r w:rsidRPr="00E125EA">
        <w:rPr>
          <w:rFonts w:eastAsia="Times New Roman"/>
          <w:sz w:val="24"/>
          <w:szCs w:val="24"/>
        </w:rPr>
        <w:t xml:space="preserve"> como contraponto à centralidade da visão na produção ocidental do conhecimento, valorizando modos sensoriais e relacionais de perceber e experimentar o mundo (OYĚWÙMÍ, 2021). Em diálogo com perspectivas afro-brasileiras, essa compreensão permite pensar corpo, ancestralidade, memória, espiritualidade e comunidade de modo não fragmentado, aproximando-se dos valores civilizatórios sistematizados por </w:t>
      </w:r>
      <w:proofErr w:type="spellStart"/>
      <w:r w:rsidRPr="00E125EA">
        <w:rPr>
          <w:rFonts w:eastAsia="Times New Roman"/>
          <w:sz w:val="24"/>
          <w:szCs w:val="24"/>
        </w:rPr>
        <w:t>Azoilda</w:t>
      </w:r>
      <w:proofErr w:type="spellEnd"/>
      <w:r w:rsidRPr="00E125EA">
        <w:rPr>
          <w:rFonts w:eastAsia="Times New Roman"/>
          <w:sz w:val="24"/>
          <w:szCs w:val="24"/>
        </w:rPr>
        <w:t xml:space="preserve"> </w:t>
      </w:r>
      <w:proofErr w:type="spellStart"/>
      <w:r w:rsidRPr="00E125EA">
        <w:rPr>
          <w:rFonts w:eastAsia="Times New Roman"/>
          <w:sz w:val="24"/>
          <w:szCs w:val="24"/>
        </w:rPr>
        <w:t>Loretto</w:t>
      </w:r>
      <w:proofErr w:type="spellEnd"/>
      <w:r w:rsidRPr="00E125EA">
        <w:rPr>
          <w:rFonts w:eastAsia="Times New Roman"/>
          <w:sz w:val="24"/>
          <w:szCs w:val="24"/>
        </w:rPr>
        <w:t xml:space="preserve"> da Trindade: circularidade, corporeidade, musicalidade, ancestralidade, memória, oralidade, ludicidade, comunitarismo, religiosidade e energia vital (TRINDADE, 2005).</w:t>
      </w:r>
    </w:p>
    <w:p w14:paraId="4C6B45AE" w14:textId="77777777" w:rsidR="008312CB" w:rsidRPr="00E125EA" w:rsidRDefault="008312CB" w:rsidP="00D83FEA">
      <w:pPr>
        <w:tabs>
          <w:tab w:val="left" w:pos="9214"/>
        </w:tabs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 xml:space="preserve">Nessa perspectiva, a roda-dança de Ayó não se reduz a movimento ou recurso estético: constitui experiência de pertencimento e produção de sentidos. A abordagem encontra ressonância na Etnocenologia de Jorge Graça Veloso, </w:t>
      </w:r>
      <w:r w:rsidRPr="00CD3B37">
        <w:rPr>
          <w:rFonts w:eastAsia="Times New Roman"/>
          <w:sz w:val="24"/>
          <w:szCs w:val="24"/>
        </w:rPr>
        <w:t xml:space="preserve">que </w:t>
      </w:r>
      <w:r w:rsidRPr="00E125EA">
        <w:rPr>
          <w:rFonts w:eastAsia="Times New Roman"/>
          <w:sz w:val="24"/>
          <w:szCs w:val="24"/>
        </w:rPr>
        <w:t xml:space="preserve">defende a autodeterminação dos grupos e seus modos próprios de construir saberes, sentidos, pertencimentos e léxicos (VELOSO, 2019). Assim, a cosmopercepção </w:t>
      </w:r>
      <w:r w:rsidRPr="00CD3B37">
        <w:rPr>
          <w:rFonts w:eastAsia="Times New Roman"/>
          <w:sz w:val="24"/>
          <w:szCs w:val="24"/>
        </w:rPr>
        <w:t xml:space="preserve">torna-se </w:t>
      </w:r>
      <w:r w:rsidRPr="00E125EA">
        <w:rPr>
          <w:rFonts w:eastAsia="Times New Roman"/>
          <w:sz w:val="24"/>
          <w:szCs w:val="24"/>
        </w:rPr>
        <w:t>possibilidade de escuta de outros modos de perceber, significar e viver o mundo.</w:t>
      </w:r>
    </w:p>
    <w:p w14:paraId="4A5CF283" w14:textId="77777777" w:rsidR="008312CB" w:rsidRPr="00E125EA" w:rsidRDefault="008312CB" w:rsidP="00D83FEA">
      <w:pPr>
        <w:tabs>
          <w:tab w:val="left" w:pos="9214"/>
        </w:tabs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 xml:space="preserve">Em suas reflexões sobre manifestações expressivas tradicionais, Veloso (2016) evidencia as relações entre práticas culturais, memória e pertencimento. Os saberes e fazeres tradicionais e inventados não são objetos estáticos a serem preservados, mas experiências vivas, continuamente recriadas por aqueles que delas participam. Em </w:t>
      </w:r>
      <w:r w:rsidRPr="00E125EA">
        <w:rPr>
          <w:rFonts w:eastAsia="Times New Roman"/>
          <w:i/>
          <w:iCs/>
          <w:sz w:val="24"/>
          <w:szCs w:val="24"/>
        </w:rPr>
        <w:t>Brincando e cantando na encantaria das infâncias</w:t>
      </w:r>
      <w:r w:rsidRPr="00E125EA">
        <w:rPr>
          <w:rFonts w:eastAsia="Times New Roman"/>
          <w:sz w:val="24"/>
          <w:szCs w:val="24"/>
        </w:rPr>
        <w:t>, Veloso (2025) aproxima infância, oralidade, cantigas e corporeidade, reforçando o brincar como experiência cultural e modo de produção dos mundos infantis.</w:t>
      </w:r>
    </w:p>
    <w:p w14:paraId="6AD05E4F" w14:textId="77777777" w:rsidR="008312CB" w:rsidRPr="00E125EA" w:rsidRDefault="008312CB" w:rsidP="00D83FEA">
      <w:pPr>
        <w:tabs>
          <w:tab w:val="left" w:pos="9214"/>
        </w:tabs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 xml:space="preserve">Essa discussão encontra interlocução direta em Cristina Aparecida Leite. Ao pesquisar cantigas de roda e brinquedos cantados na formação continuada de professores, por meio da experiência Rodas de Brincar, Leite (2015) evidencia a </w:t>
      </w:r>
      <w:r w:rsidRPr="00E125EA">
        <w:rPr>
          <w:rFonts w:eastAsia="Times New Roman"/>
          <w:sz w:val="24"/>
          <w:szCs w:val="24"/>
        </w:rPr>
        <w:lastRenderedPageBreak/>
        <w:t>potência das atividades lúdico-corporais para ampliar repertórios e ressignificar práticas tradicionais no contexto escolar, aproximando corpo, música, brincadeira e formação docente.</w:t>
      </w:r>
    </w:p>
    <w:p w14:paraId="56BEEAEB" w14:textId="77777777" w:rsidR="008312CB" w:rsidRPr="00E125EA" w:rsidRDefault="008312CB" w:rsidP="00D83FEA">
      <w:pPr>
        <w:tabs>
          <w:tab w:val="left" w:pos="9214"/>
        </w:tabs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 xml:space="preserve">É nesse entrelaçamento que se configura o foco desta investigação: compreender como a experiência vivida em uma formação continuada, fundamentada na Etnocenologia e nos brinquedos cantados, pode impulsionar profissionais da educação a proposições de acontecimentos cênico-brincantes em suas práticas escolares. A questão desloca-se, portanto, de “ensinar brincadeiras” para investigar o que acontece quando </w:t>
      </w:r>
      <w:r w:rsidRPr="00CD3B37">
        <w:rPr>
          <w:rFonts w:eastAsia="Times New Roman"/>
          <w:sz w:val="24"/>
          <w:szCs w:val="24"/>
        </w:rPr>
        <w:t>as pessoas</w:t>
      </w:r>
      <w:r w:rsidRPr="00E125EA">
        <w:rPr>
          <w:rFonts w:eastAsia="Times New Roman"/>
          <w:sz w:val="24"/>
          <w:szCs w:val="24"/>
        </w:rPr>
        <w:t xml:space="preserve"> experimenta</w:t>
      </w:r>
      <w:r w:rsidRPr="00CD3B37">
        <w:rPr>
          <w:rFonts w:eastAsia="Times New Roman"/>
          <w:sz w:val="24"/>
          <w:szCs w:val="24"/>
        </w:rPr>
        <w:t>m</w:t>
      </w:r>
      <w:r w:rsidRPr="00E125EA">
        <w:rPr>
          <w:rFonts w:eastAsia="Times New Roman"/>
          <w:sz w:val="24"/>
          <w:szCs w:val="24"/>
        </w:rPr>
        <w:t xml:space="preserve"> corporalmente cantar, dançar, jogar, escutar, lembrar e criar.</w:t>
      </w:r>
    </w:p>
    <w:p w14:paraId="75471AB3" w14:textId="77777777" w:rsidR="008312CB" w:rsidRPr="00E125EA" w:rsidRDefault="008312CB" w:rsidP="00D83FEA">
      <w:pPr>
        <w:tabs>
          <w:tab w:val="left" w:pos="9214"/>
        </w:tabs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 xml:space="preserve">A experiência cênico-brincante é compreendida como um estado de presença no qual corpo, voz, ritmo, gesto, musicalidade, jogo, escuta e relação se articulam. </w:t>
      </w:r>
      <w:r w:rsidRPr="00CD3B37">
        <w:rPr>
          <w:rFonts w:eastAsia="Times New Roman"/>
          <w:sz w:val="24"/>
          <w:szCs w:val="24"/>
        </w:rPr>
        <w:t xml:space="preserve">É </w:t>
      </w:r>
      <w:r w:rsidRPr="00E125EA">
        <w:rPr>
          <w:rFonts w:eastAsia="Times New Roman"/>
          <w:sz w:val="24"/>
          <w:szCs w:val="24"/>
        </w:rPr>
        <w:t xml:space="preserve">reconhecer que a experiência cultural vivida pode produzir deslocamentos, ampliar repertórios e impulsionar novas proposições pedagógicas. </w:t>
      </w:r>
    </w:p>
    <w:p w14:paraId="43D8435B" w14:textId="77777777" w:rsidR="008312CB" w:rsidRPr="00E125EA" w:rsidRDefault="008312CB" w:rsidP="00D83FEA">
      <w:pPr>
        <w:tabs>
          <w:tab w:val="left" w:pos="9214"/>
        </w:tabs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>A dança de Ayó contribui poeticamente para essa discussão ao colocar ancestralidade, musicalidade, dança, corpo e memória no centro da narrativa. Aproximá-la dos brinquedos cantados não significa afirmar que sejam experiências equivalentes, mas reconhecer uma zona de diálogo: a cantiga como memória; a dança como linguagem; o corpo como território de conhecimento; e a roda como espaço de encontro.</w:t>
      </w:r>
    </w:p>
    <w:p w14:paraId="5A9CDD7D" w14:textId="77777777" w:rsidR="008312CB" w:rsidRPr="00E125EA" w:rsidRDefault="008312CB" w:rsidP="00D83FEA">
      <w:pPr>
        <w:tabs>
          <w:tab w:val="left" w:pos="9214"/>
        </w:tabs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>A perspectiva também é decolonial. Decolonizar não significa apenas inserir conteúdos referentes às culturas negras, indígenas ou populares no currículo, mas questionar quem nomeia, quem interpreta, quem ensina e quais saberes são reconhecidos como legítimos. Significa abrir espaço para que os próprios sujeitos produzam narrativas, conhecimentos e léxicos. Nesse sentido, a experiência pode constituir um lugar de fala e de produção de outros modos de conhecer.</w:t>
      </w:r>
    </w:p>
    <w:p w14:paraId="4EE9DFAC" w14:textId="77777777" w:rsidR="008312CB" w:rsidRPr="00E125EA" w:rsidRDefault="008312CB" w:rsidP="00D83FEA">
      <w:pPr>
        <w:tabs>
          <w:tab w:val="left" w:pos="9214"/>
        </w:tabs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 xml:space="preserve">Pensar Etnocenologia, educação e decolonialidade no século XXI é perguntar quais corpos colocamos em cena, quais vozes escutamos, quais locais de fala reconhecemos e quais léxicos estamos dispostos a acolher. </w:t>
      </w:r>
      <w:r w:rsidRPr="00E125EA">
        <w:rPr>
          <w:rFonts w:eastAsia="Times New Roman"/>
          <w:i/>
          <w:iCs/>
          <w:sz w:val="24"/>
          <w:szCs w:val="24"/>
        </w:rPr>
        <w:t>A dança de Ayó</w:t>
      </w:r>
      <w:r w:rsidRPr="00E125EA">
        <w:rPr>
          <w:rFonts w:eastAsia="Times New Roman"/>
          <w:sz w:val="24"/>
          <w:szCs w:val="24"/>
        </w:rPr>
        <w:t xml:space="preserve"> nos </w:t>
      </w:r>
      <w:r w:rsidRPr="00E125EA">
        <w:rPr>
          <w:rFonts w:eastAsia="Times New Roman"/>
          <w:sz w:val="24"/>
          <w:szCs w:val="24"/>
        </w:rPr>
        <w:lastRenderedPageBreak/>
        <w:t>lembra que conhecimento também pode nascer do movimento, da cantiga, da memória e do encontro.</w:t>
      </w:r>
    </w:p>
    <w:p w14:paraId="7D36AC76" w14:textId="4CD4370C" w:rsidR="008312CB" w:rsidRPr="00E125EA" w:rsidRDefault="008312CB" w:rsidP="00D83FEA">
      <w:pPr>
        <w:tabs>
          <w:tab w:val="left" w:pos="9214"/>
        </w:tabs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>É nesse cruzamento que a experiência cênico-brincante ganha sentido: não como técnica a ser aplicada, mas como experiência cultural capaz de transformar o modo como profissionais da educação percebem a si, ao outro e à cultura e, a partir dessa experiência, impulsionar acontecimentos cênico-brincantes na escola. A roda permanece aberta: há lugar para chegar, cantar, escutar, brincar, narrar, lembrar e criar.</w:t>
      </w:r>
    </w:p>
    <w:p w14:paraId="3583290C" w14:textId="77777777" w:rsidR="008312CB" w:rsidRPr="00E125EA" w:rsidRDefault="008312CB" w:rsidP="008312CB">
      <w:pPr>
        <w:tabs>
          <w:tab w:val="left" w:pos="9214"/>
        </w:tabs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b/>
          <w:bCs/>
          <w:sz w:val="24"/>
          <w:szCs w:val="24"/>
        </w:rPr>
        <w:t>P</w:t>
      </w:r>
      <w:r w:rsidRPr="00CD3B37">
        <w:rPr>
          <w:rFonts w:eastAsia="Times New Roman"/>
          <w:b/>
          <w:bCs/>
          <w:sz w:val="24"/>
          <w:szCs w:val="24"/>
        </w:rPr>
        <w:t>ALAVRAS-CHAVE:</w:t>
      </w:r>
      <w:r w:rsidRPr="00E125EA">
        <w:rPr>
          <w:rFonts w:eastAsia="Times New Roman"/>
          <w:sz w:val="24"/>
          <w:szCs w:val="24"/>
        </w:rPr>
        <w:t xml:space="preserve"> Etnocenologia; educação; decolonialidade; cosmopercepção; brinquedos cantados</w:t>
      </w:r>
      <w:r w:rsidRPr="00CD3B37">
        <w:rPr>
          <w:rFonts w:eastAsia="Times New Roman"/>
        </w:rPr>
        <w:t>.</w:t>
      </w:r>
    </w:p>
    <w:p w14:paraId="03CA86B5" w14:textId="77777777" w:rsidR="008312CB" w:rsidRPr="00E125EA" w:rsidRDefault="008312CB" w:rsidP="008312CB">
      <w:pPr>
        <w:tabs>
          <w:tab w:val="left" w:pos="9214"/>
        </w:tabs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</w:rPr>
      </w:pPr>
      <w:r w:rsidRPr="00CD3B37">
        <w:rPr>
          <w:rFonts w:eastAsia="Times New Roman"/>
          <w:b/>
          <w:bCs/>
          <w:sz w:val="24"/>
          <w:szCs w:val="24"/>
        </w:rPr>
        <w:t>REFERÊNCIAS</w:t>
      </w:r>
    </w:p>
    <w:p w14:paraId="0B9E7CF6" w14:textId="77777777" w:rsidR="008312CB" w:rsidRPr="00E125EA" w:rsidRDefault="008312CB" w:rsidP="008312CB">
      <w:pPr>
        <w:tabs>
          <w:tab w:val="left" w:pos="9214"/>
        </w:tabs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 xml:space="preserve">BIÃO, Armindo. </w:t>
      </w:r>
      <w:r w:rsidRPr="00E125EA">
        <w:rPr>
          <w:rFonts w:eastAsia="Times New Roman"/>
          <w:i/>
          <w:iCs/>
          <w:sz w:val="24"/>
          <w:szCs w:val="24"/>
        </w:rPr>
        <w:t>Etnocenologia e a cena baiana: textos reunidos</w:t>
      </w:r>
      <w:r w:rsidRPr="00E125EA">
        <w:rPr>
          <w:rFonts w:eastAsia="Times New Roman"/>
          <w:sz w:val="24"/>
          <w:szCs w:val="24"/>
        </w:rPr>
        <w:t>. Salvador: P&amp;A Gráfica e Editora, 2009.</w:t>
      </w:r>
    </w:p>
    <w:p w14:paraId="5A2CAD7A" w14:textId="77777777" w:rsidR="008312CB" w:rsidRPr="00E125EA" w:rsidRDefault="008312CB" w:rsidP="008312CB">
      <w:pPr>
        <w:tabs>
          <w:tab w:val="left" w:pos="9214"/>
        </w:tabs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 xml:space="preserve">BROUGÈRE, Gilles. A criança e a cultura lúdica. </w:t>
      </w:r>
      <w:r w:rsidRPr="00E125EA">
        <w:rPr>
          <w:rFonts w:eastAsia="Times New Roman"/>
          <w:i/>
          <w:iCs/>
          <w:sz w:val="24"/>
          <w:szCs w:val="24"/>
        </w:rPr>
        <w:t>Revista da Faculdade de Educação</w:t>
      </w:r>
      <w:r w:rsidRPr="00E125EA">
        <w:rPr>
          <w:rFonts w:eastAsia="Times New Roman"/>
          <w:sz w:val="24"/>
          <w:szCs w:val="24"/>
        </w:rPr>
        <w:t>, São Paulo, v. 24, n. 2, p. 103-116, 1998.</w:t>
      </w:r>
    </w:p>
    <w:p w14:paraId="7F07FF6D" w14:textId="77777777" w:rsidR="008312CB" w:rsidRPr="00E125EA" w:rsidRDefault="008312CB" w:rsidP="008312CB">
      <w:pPr>
        <w:tabs>
          <w:tab w:val="left" w:pos="9214"/>
        </w:tabs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 xml:space="preserve">CAMPOS, Clarice. </w:t>
      </w:r>
      <w:r w:rsidRPr="00E125EA">
        <w:rPr>
          <w:rFonts w:eastAsia="Times New Roman"/>
          <w:i/>
          <w:iCs/>
          <w:sz w:val="24"/>
          <w:szCs w:val="24"/>
        </w:rPr>
        <w:t>A dança de Ayó</w:t>
      </w:r>
      <w:r w:rsidRPr="00E125EA">
        <w:rPr>
          <w:rFonts w:eastAsia="Times New Roman"/>
          <w:sz w:val="24"/>
          <w:szCs w:val="24"/>
        </w:rPr>
        <w:t>. Fernanda Rodrigues. Rio de Janeiro: Pingo de Luz, 2025.</w:t>
      </w:r>
    </w:p>
    <w:p w14:paraId="70DEFE31" w14:textId="77777777" w:rsidR="008312CB" w:rsidRPr="00CD3B37" w:rsidRDefault="008312CB" w:rsidP="008312CB">
      <w:pPr>
        <w:tabs>
          <w:tab w:val="left" w:pos="9214"/>
        </w:tabs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CD3B37">
        <w:rPr>
          <w:color w:val="000000"/>
          <w:sz w:val="24"/>
          <w:szCs w:val="24"/>
          <w:shd w:val="clear" w:color="auto" w:fill="FFFFFF"/>
        </w:rPr>
        <w:t xml:space="preserve">KISHIMOTO, </w:t>
      </w:r>
      <w:proofErr w:type="spellStart"/>
      <w:r w:rsidRPr="00CD3B37">
        <w:rPr>
          <w:color w:val="000000"/>
          <w:sz w:val="24"/>
          <w:szCs w:val="24"/>
          <w:shd w:val="clear" w:color="auto" w:fill="FFFFFF"/>
        </w:rPr>
        <w:t>Tizuko</w:t>
      </w:r>
      <w:proofErr w:type="spellEnd"/>
      <w:r w:rsidRPr="00CD3B37"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CD3B37">
        <w:rPr>
          <w:color w:val="000000"/>
          <w:sz w:val="24"/>
          <w:szCs w:val="24"/>
          <w:shd w:val="clear" w:color="auto" w:fill="FFFFFF"/>
        </w:rPr>
        <w:t>Morchida</w:t>
      </w:r>
      <w:proofErr w:type="spellEnd"/>
      <w:r w:rsidRPr="00CD3B37">
        <w:rPr>
          <w:color w:val="000000"/>
          <w:sz w:val="24"/>
          <w:szCs w:val="24"/>
          <w:shd w:val="clear" w:color="auto" w:fill="FFFFFF"/>
        </w:rPr>
        <w:t xml:space="preserve">. O jogo e a educação infantil. </w:t>
      </w:r>
      <w:proofErr w:type="spellStart"/>
      <w:r w:rsidRPr="00CD3B37">
        <w:rPr>
          <w:i/>
          <w:iCs/>
          <w:color w:val="000000"/>
          <w:sz w:val="24"/>
          <w:szCs w:val="24"/>
          <w:shd w:val="clear" w:color="auto" w:fill="FFFFFF"/>
        </w:rPr>
        <w:t>Pro-Posições</w:t>
      </w:r>
      <w:proofErr w:type="spellEnd"/>
      <w:r w:rsidRPr="00CD3B37">
        <w:rPr>
          <w:color w:val="000000"/>
          <w:sz w:val="24"/>
          <w:szCs w:val="24"/>
          <w:shd w:val="clear" w:color="auto" w:fill="FFFFFF"/>
        </w:rPr>
        <w:t>, v. 6, n. jun. 1995, p. 46-63, 1995. Acesso em: 15 ago. 2026.</w:t>
      </w:r>
    </w:p>
    <w:p w14:paraId="35CA98E9" w14:textId="77777777" w:rsidR="008312CB" w:rsidRPr="00E125EA" w:rsidRDefault="008312CB" w:rsidP="008312CB">
      <w:pPr>
        <w:tabs>
          <w:tab w:val="left" w:pos="9214"/>
        </w:tabs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 xml:space="preserve">LARA, Larissa Michelle; PIMENTEL, Giuliano Gomes de Assis; RIBEIRO, </w:t>
      </w:r>
      <w:proofErr w:type="spellStart"/>
      <w:r w:rsidRPr="00E125EA">
        <w:rPr>
          <w:rFonts w:eastAsia="Times New Roman"/>
          <w:sz w:val="24"/>
          <w:szCs w:val="24"/>
        </w:rPr>
        <w:t>Deiva</w:t>
      </w:r>
      <w:proofErr w:type="spellEnd"/>
      <w:r w:rsidRPr="00E125EA">
        <w:rPr>
          <w:rFonts w:eastAsia="Times New Roman"/>
          <w:sz w:val="24"/>
          <w:szCs w:val="24"/>
        </w:rPr>
        <w:t xml:space="preserve"> Mara </w:t>
      </w:r>
      <w:proofErr w:type="spellStart"/>
      <w:r w:rsidRPr="00E125EA">
        <w:rPr>
          <w:rFonts w:eastAsia="Times New Roman"/>
          <w:sz w:val="24"/>
          <w:szCs w:val="24"/>
        </w:rPr>
        <w:t>Delfini</w:t>
      </w:r>
      <w:proofErr w:type="spellEnd"/>
      <w:r w:rsidRPr="00E125EA">
        <w:rPr>
          <w:rFonts w:eastAsia="Times New Roman"/>
          <w:sz w:val="24"/>
          <w:szCs w:val="24"/>
        </w:rPr>
        <w:t xml:space="preserve">. Brincadeiras cantadas: educação e ludicidade na cultura do corpo. </w:t>
      </w:r>
      <w:proofErr w:type="spellStart"/>
      <w:r w:rsidRPr="00E125EA">
        <w:rPr>
          <w:rFonts w:eastAsia="Times New Roman"/>
          <w:i/>
          <w:iCs/>
          <w:sz w:val="24"/>
          <w:szCs w:val="24"/>
        </w:rPr>
        <w:t>Lecturas</w:t>
      </w:r>
      <w:proofErr w:type="spellEnd"/>
      <w:r w:rsidRPr="00E125EA">
        <w:rPr>
          <w:rFonts w:eastAsia="Times New Roman"/>
          <w:i/>
          <w:iCs/>
          <w:sz w:val="24"/>
          <w:szCs w:val="24"/>
        </w:rPr>
        <w:t xml:space="preserve">: </w:t>
      </w:r>
      <w:proofErr w:type="spellStart"/>
      <w:r w:rsidRPr="00E125EA">
        <w:rPr>
          <w:rFonts w:eastAsia="Times New Roman"/>
          <w:i/>
          <w:iCs/>
          <w:sz w:val="24"/>
          <w:szCs w:val="24"/>
        </w:rPr>
        <w:t>Educación</w:t>
      </w:r>
      <w:proofErr w:type="spellEnd"/>
      <w:r w:rsidRPr="00E125EA">
        <w:rPr>
          <w:rFonts w:eastAsia="Times New Roman"/>
          <w:i/>
          <w:iCs/>
          <w:sz w:val="24"/>
          <w:szCs w:val="24"/>
        </w:rPr>
        <w:t xml:space="preserve"> Física y Deportes</w:t>
      </w:r>
      <w:r w:rsidRPr="00E125EA">
        <w:rPr>
          <w:rFonts w:eastAsia="Times New Roman"/>
          <w:sz w:val="24"/>
          <w:szCs w:val="24"/>
        </w:rPr>
        <w:t>, Buenos Aires, ano 10, n. 81, fev. 2005.</w:t>
      </w:r>
    </w:p>
    <w:p w14:paraId="3858E6E8" w14:textId="77777777" w:rsidR="008312CB" w:rsidRPr="00E125EA" w:rsidRDefault="008312CB" w:rsidP="008312CB">
      <w:pPr>
        <w:tabs>
          <w:tab w:val="left" w:pos="9214"/>
        </w:tabs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 xml:space="preserve">LEITE, Cristina Aparecida. O trabalho com cantigas de roda e brinquedos cantados na escola do século XXI. </w:t>
      </w:r>
      <w:r w:rsidRPr="00E125EA">
        <w:rPr>
          <w:rFonts w:eastAsia="Times New Roman"/>
          <w:i/>
          <w:iCs/>
          <w:sz w:val="24"/>
          <w:szCs w:val="24"/>
        </w:rPr>
        <w:t>Trapiche – Educação, Cultura &amp; Artes</w:t>
      </w:r>
      <w:r w:rsidRPr="00E125EA">
        <w:rPr>
          <w:rFonts w:eastAsia="Times New Roman"/>
          <w:sz w:val="24"/>
          <w:szCs w:val="24"/>
        </w:rPr>
        <w:t>, n. 2, p. 68-79, 2015.</w:t>
      </w:r>
    </w:p>
    <w:p w14:paraId="459F17F7" w14:textId="77777777" w:rsidR="008312CB" w:rsidRPr="00E125EA" w:rsidRDefault="008312CB" w:rsidP="008312CB">
      <w:pPr>
        <w:tabs>
          <w:tab w:val="left" w:pos="9214"/>
        </w:tabs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 xml:space="preserve">MARCELLINO, Nelson Carvalho. </w:t>
      </w:r>
      <w:r w:rsidRPr="00E125EA">
        <w:rPr>
          <w:rFonts w:eastAsia="Times New Roman"/>
          <w:i/>
          <w:iCs/>
          <w:sz w:val="24"/>
          <w:szCs w:val="24"/>
        </w:rPr>
        <w:t>Pedagogia da animação</w:t>
      </w:r>
      <w:r w:rsidRPr="00E125EA">
        <w:rPr>
          <w:rFonts w:eastAsia="Times New Roman"/>
          <w:sz w:val="24"/>
          <w:szCs w:val="24"/>
        </w:rPr>
        <w:t>. 2. ed. Campinas: Papirus, 199</w:t>
      </w:r>
      <w:r w:rsidRPr="00CD3B37">
        <w:rPr>
          <w:rFonts w:eastAsia="Times New Roman"/>
          <w:sz w:val="24"/>
          <w:szCs w:val="24"/>
        </w:rPr>
        <w:t>0</w:t>
      </w:r>
      <w:r w:rsidRPr="00E125EA">
        <w:rPr>
          <w:rFonts w:eastAsia="Times New Roman"/>
          <w:sz w:val="24"/>
          <w:szCs w:val="24"/>
        </w:rPr>
        <w:t>.</w:t>
      </w:r>
    </w:p>
    <w:p w14:paraId="036735BA" w14:textId="77777777" w:rsidR="008312CB" w:rsidRPr="00E125EA" w:rsidRDefault="008312CB" w:rsidP="008312CB">
      <w:pPr>
        <w:tabs>
          <w:tab w:val="left" w:pos="9214"/>
        </w:tabs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 xml:space="preserve">OYĚWÙMÍ, </w:t>
      </w:r>
      <w:proofErr w:type="spellStart"/>
      <w:r w:rsidRPr="00E125EA">
        <w:rPr>
          <w:rFonts w:eastAsia="Times New Roman"/>
          <w:sz w:val="24"/>
          <w:szCs w:val="24"/>
        </w:rPr>
        <w:t>Oyèrónkẹ</w:t>
      </w:r>
      <w:proofErr w:type="spellEnd"/>
      <w:r w:rsidRPr="00E125EA">
        <w:rPr>
          <w:rFonts w:eastAsia="Times New Roman"/>
          <w:sz w:val="24"/>
          <w:szCs w:val="24"/>
        </w:rPr>
        <w:t xml:space="preserve">́. </w:t>
      </w:r>
      <w:r w:rsidRPr="00E125EA">
        <w:rPr>
          <w:rFonts w:eastAsia="Times New Roman"/>
          <w:i/>
          <w:iCs/>
          <w:sz w:val="24"/>
          <w:szCs w:val="24"/>
        </w:rPr>
        <w:t>A invenção das mulheres: construindo um sentido africano para os discursos ocidentais de gênero</w:t>
      </w:r>
      <w:r w:rsidRPr="00E125EA">
        <w:rPr>
          <w:rFonts w:eastAsia="Times New Roman"/>
          <w:sz w:val="24"/>
          <w:szCs w:val="24"/>
        </w:rPr>
        <w:t>. Tradução de Wanderson Flor do Nascimento. Rio de Janeiro: Bazar do Tempo, 2021.</w:t>
      </w:r>
    </w:p>
    <w:p w14:paraId="2984CFA1" w14:textId="77777777" w:rsidR="008312CB" w:rsidRPr="00E125EA" w:rsidRDefault="008312CB" w:rsidP="008312CB">
      <w:pPr>
        <w:tabs>
          <w:tab w:val="left" w:pos="9214"/>
        </w:tabs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 xml:space="preserve">PRADIER, Jean-Marie. Etnocenologia. In: GREINER, Christine; BIÃO, Armindo (org.). </w:t>
      </w:r>
      <w:r w:rsidRPr="00E125EA">
        <w:rPr>
          <w:rFonts w:eastAsia="Times New Roman"/>
          <w:i/>
          <w:iCs/>
          <w:sz w:val="24"/>
          <w:szCs w:val="24"/>
        </w:rPr>
        <w:t>Etnocenologia: textos selecionados</w:t>
      </w:r>
      <w:r w:rsidRPr="00E125EA">
        <w:rPr>
          <w:rFonts w:eastAsia="Times New Roman"/>
          <w:sz w:val="24"/>
          <w:szCs w:val="24"/>
        </w:rPr>
        <w:t xml:space="preserve">. São Paulo: </w:t>
      </w:r>
      <w:proofErr w:type="spellStart"/>
      <w:r w:rsidRPr="00E125EA">
        <w:rPr>
          <w:rFonts w:eastAsia="Times New Roman"/>
          <w:sz w:val="24"/>
          <w:szCs w:val="24"/>
        </w:rPr>
        <w:t>Annablume</w:t>
      </w:r>
      <w:proofErr w:type="spellEnd"/>
      <w:r w:rsidRPr="00E125EA">
        <w:rPr>
          <w:rFonts w:eastAsia="Times New Roman"/>
          <w:sz w:val="24"/>
          <w:szCs w:val="24"/>
        </w:rPr>
        <w:t>, 1999. p. 23-29.</w:t>
      </w:r>
    </w:p>
    <w:p w14:paraId="671E09A9" w14:textId="77777777" w:rsidR="008312CB" w:rsidRPr="00E125EA" w:rsidRDefault="008312CB" w:rsidP="008312CB">
      <w:pPr>
        <w:tabs>
          <w:tab w:val="left" w:pos="9214"/>
        </w:tabs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lastRenderedPageBreak/>
        <w:t xml:space="preserve">TRINDADE, </w:t>
      </w:r>
      <w:proofErr w:type="spellStart"/>
      <w:r w:rsidRPr="00E125EA">
        <w:rPr>
          <w:rFonts w:eastAsia="Times New Roman"/>
          <w:sz w:val="24"/>
          <w:szCs w:val="24"/>
        </w:rPr>
        <w:t>Azoilda</w:t>
      </w:r>
      <w:proofErr w:type="spellEnd"/>
      <w:r w:rsidRPr="00E125EA">
        <w:rPr>
          <w:rFonts w:eastAsia="Times New Roman"/>
          <w:sz w:val="24"/>
          <w:szCs w:val="24"/>
        </w:rPr>
        <w:t xml:space="preserve"> </w:t>
      </w:r>
      <w:proofErr w:type="spellStart"/>
      <w:r w:rsidRPr="00E125EA">
        <w:rPr>
          <w:rFonts w:eastAsia="Times New Roman"/>
          <w:sz w:val="24"/>
          <w:szCs w:val="24"/>
        </w:rPr>
        <w:t>Loretto</w:t>
      </w:r>
      <w:proofErr w:type="spellEnd"/>
      <w:r w:rsidRPr="00E125EA">
        <w:rPr>
          <w:rFonts w:eastAsia="Times New Roman"/>
          <w:sz w:val="24"/>
          <w:szCs w:val="24"/>
        </w:rPr>
        <w:t xml:space="preserve"> da. Valores civilizatórios afro-brasileiros na educação infantil. In: BRASIL. Ministério da Educação. </w:t>
      </w:r>
      <w:r w:rsidRPr="00E125EA">
        <w:rPr>
          <w:rFonts w:eastAsia="Times New Roman"/>
          <w:i/>
          <w:iCs/>
          <w:sz w:val="24"/>
          <w:szCs w:val="24"/>
        </w:rPr>
        <w:t>Valores afro-brasileiros na educação</w:t>
      </w:r>
      <w:r w:rsidRPr="00E125EA">
        <w:rPr>
          <w:rFonts w:eastAsia="Times New Roman"/>
          <w:sz w:val="24"/>
          <w:szCs w:val="24"/>
        </w:rPr>
        <w:t>. Brasília: MEC, 2005.</w:t>
      </w:r>
    </w:p>
    <w:p w14:paraId="06657EC0" w14:textId="77777777" w:rsidR="008312CB" w:rsidRPr="00E125EA" w:rsidRDefault="008312CB" w:rsidP="008312CB">
      <w:pPr>
        <w:tabs>
          <w:tab w:val="left" w:pos="9214"/>
        </w:tabs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 xml:space="preserve">VELOSO, Jorge das Graças. As casas e os corpos em manifestações expressivas tradicionais, sagradas e profanas na região do Distrito Federal e seu entorno. </w:t>
      </w:r>
      <w:r w:rsidRPr="00E125EA">
        <w:rPr>
          <w:rFonts w:eastAsia="Times New Roman"/>
          <w:i/>
          <w:iCs/>
          <w:sz w:val="24"/>
          <w:szCs w:val="24"/>
        </w:rPr>
        <w:t>Sala Preta</w:t>
      </w:r>
      <w:r w:rsidRPr="00E125EA">
        <w:rPr>
          <w:rFonts w:eastAsia="Times New Roman"/>
          <w:sz w:val="24"/>
          <w:szCs w:val="24"/>
        </w:rPr>
        <w:t>, São Paulo, v. 16, n. 1, p. 92-104, 2016.</w:t>
      </w:r>
    </w:p>
    <w:p w14:paraId="7EBC43DE" w14:textId="77777777" w:rsidR="008312CB" w:rsidRPr="00E125EA" w:rsidRDefault="008312CB" w:rsidP="008312CB">
      <w:pPr>
        <w:tabs>
          <w:tab w:val="left" w:pos="9214"/>
        </w:tabs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 xml:space="preserve">VELOSO, Jorge das Graças. Folclore, cultura popular e autodeterminação: uma abordagem etnocenológica aos pensares e fazeres estéticos na produção de patrimônios identitários. </w:t>
      </w:r>
      <w:r w:rsidRPr="00E125EA">
        <w:rPr>
          <w:rFonts w:eastAsia="Times New Roman"/>
          <w:i/>
          <w:iCs/>
          <w:sz w:val="24"/>
          <w:szCs w:val="24"/>
        </w:rPr>
        <w:t>Anais ABRACE</w:t>
      </w:r>
      <w:r w:rsidRPr="00E125EA">
        <w:rPr>
          <w:rFonts w:eastAsia="Times New Roman"/>
          <w:sz w:val="24"/>
          <w:szCs w:val="24"/>
        </w:rPr>
        <w:t>, 2019.</w:t>
      </w:r>
    </w:p>
    <w:p w14:paraId="17849DBA" w14:textId="77777777" w:rsidR="008312CB" w:rsidRPr="00E125EA" w:rsidRDefault="008312CB" w:rsidP="008312CB">
      <w:pPr>
        <w:tabs>
          <w:tab w:val="left" w:pos="9214"/>
        </w:tabs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 xml:space="preserve">VELOSO, Jorge das Graças. Cena e representação: reflexões sobre </w:t>
      </w:r>
      <w:r w:rsidRPr="00CD3B37">
        <w:rPr>
          <w:rFonts w:eastAsia="Times New Roman"/>
          <w:sz w:val="24"/>
          <w:szCs w:val="24"/>
        </w:rPr>
        <w:t>E</w:t>
      </w:r>
      <w:r w:rsidRPr="00E125EA">
        <w:rPr>
          <w:rFonts w:eastAsia="Times New Roman"/>
          <w:sz w:val="24"/>
          <w:szCs w:val="24"/>
        </w:rPr>
        <w:t xml:space="preserve">tnocenologia e algumas atualizações das noções de espetacularidade na cena da diversidade cultural humana. </w:t>
      </w:r>
      <w:r w:rsidRPr="00E125EA">
        <w:rPr>
          <w:rFonts w:eastAsia="Times New Roman"/>
          <w:i/>
          <w:iCs/>
          <w:sz w:val="24"/>
          <w:szCs w:val="24"/>
        </w:rPr>
        <w:t>Anais ABRACE</w:t>
      </w:r>
      <w:r w:rsidRPr="00E125EA">
        <w:rPr>
          <w:rFonts w:eastAsia="Times New Roman"/>
          <w:sz w:val="24"/>
          <w:szCs w:val="24"/>
        </w:rPr>
        <w:t>, 2021.</w:t>
      </w:r>
    </w:p>
    <w:p w14:paraId="55A3A8A2" w14:textId="77777777" w:rsidR="008312CB" w:rsidRPr="00E125EA" w:rsidRDefault="008312CB" w:rsidP="008312CB">
      <w:pPr>
        <w:tabs>
          <w:tab w:val="left" w:pos="9214"/>
        </w:tabs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E125EA">
        <w:rPr>
          <w:rFonts w:eastAsia="Times New Roman"/>
          <w:sz w:val="24"/>
          <w:szCs w:val="24"/>
        </w:rPr>
        <w:t xml:space="preserve">VELOSO, Jorge das Graças. Brincando e cantando na encantaria das infâncias. </w:t>
      </w:r>
      <w:r w:rsidRPr="00E125EA">
        <w:rPr>
          <w:rFonts w:eastAsia="Times New Roman"/>
          <w:i/>
          <w:iCs/>
          <w:sz w:val="24"/>
          <w:szCs w:val="24"/>
        </w:rPr>
        <w:t>Cadernos do GIPE-CIT</w:t>
      </w:r>
      <w:r w:rsidRPr="00E125EA">
        <w:rPr>
          <w:rFonts w:eastAsia="Times New Roman"/>
          <w:sz w:val="24"/>
          <w:szCs w:val="24"/>
        </w:rPr>
        <w:t>, n. 53, p. 15-19, 2025.</w:t>
      </w:r>
    </w:p>
    <w:p w14:paraId="30AD0E8D" w14:textId="77777777" w:rsidR="008312CB" w:rsidRDefault="008312CB" w:rsidP="008312CB">
      <w:pPr>
        <w:spacing w:after="200" w:line="240" w:lineRule="auto"/>
        <w:ind w:firstLine="851"/>
        <w:jc w:val="both"/>
        <w:rPr>
          <w:b/>
          <w:bCs/>
          <w:sz w:val="24"/>
          <w:szCs w:val="24"/>
        </w:rPr>
      </w:pPr>
    </w:p>
    <w:sectPr w:rsidR="008312CB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A77343" w14:textId="77777777" w:rsidR="00111FBF" w:rsidRDefault="00111FBF">
      <w:pPr>
        <w:spacing w:line="240" w:lineRule="auto"/>
      </w:pPr>
      <w:r>
        <w:separator/>
      </w:r>
    </w:p>
  </w:endnote>
  <w:endnote w:type="continuationSeparator" w:id="0">
    <w:p w14:paraId="063890EF" w14:textId="77777777" w:rsidR="00111FBF" w:rsidRDefault="00111F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6CD350B-A689-4C59-A383-AE1A4682D9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A58317C-98B8-4DCF-8043-B0895A600A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A2083A" w14:textId="77777777" w:rsidR="006224DD" w:rsidRDefault="00111FBF">
    <w:pPr>
      <w:jc w:val="center"/>
    </w:pPr>
    <w:r>
      <w:fldChar w:fldCharType="begin"/>
    </w:r>
    <w:r>
      <w:instrText>PAGE</w:instrText>
    </w:r>
    <w:r w:rsidR="00D40EB4">
      <w:fldChar w:fldCharType="separate"/>
    </w:r>
    <w:r w:rsidR="00D40EB4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1A0E57" w14:textId="77777777" w:rsidR="006224DD" w:rsidRDefault="006224D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411F5B" w14:textId="77777777" w:rsidR="00111FBF" w:rsidRDefault="00111FBF">
      <w:pPr>
        <w:spacing w:line="240" w:lineRule="auto"/>
      </w:pPr>
      <w:r>
        <w:separator/>
      </w:r>
    </w:p>
  </w:footnote>
  <w:footnote w:type="continuationSeparator" w:id="0">
    <w:p w14:paraId="783E3A22" w14:textId="77777777" w:rsidR="00111FBF" w:rsidRDefault="00111FBF">
      <w:pPr>
        <w:spacing w:line="240" w:lineRule="auto"/>
      </w:pPr>
      <w:r>
        <w:continuationSeparator/>
      </w:r>
    </w:p>
  </w:footnote>
  <w:footnote w:id="1">
    <w:p w14:paraId="6E89A156" w14:textId="3FBD7829" w:rsidR="00A36746" w:rsidRDefault="00A36746" w:rsidP="00A36746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</w:t>
      </w:r>
      <w:r>
        <w:t xml:space="preserve">Mestranda em Artes Cênicas pelo </w:t>
      </w:r>
      <w:proofErr w:type="spellStart"/>
      <w:r>
        <w:t>ProfArtes</w:t>
      </w:r>
      <w:proofErr w:type="spellEnd"/>
      <w:r w:rsidR="00910827">
        <w:t>/2026</w:t>
      </w:r>
      <w:r>
        <w:t xml:space="preserve"> - UNB.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E4A73F" w14:textId="77777777" w:rsidR="006224DD" w:rsidRDefault="00111FBF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CDEE678" wp14:editId="3E3C714C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2FD33312" wp14:editId="545B17CC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AF11173" w14:textId="77777777" w:rsidR="006224DD" w:rsidRDefault="006224DD">
    <w:pPr>
      <w:jc w:val="right"/>
    </w:pPr>
  </w:p>
  <w:p w14:paraId="1D374265" w14:textId="77777777" w:rsidR="006224DD" w:rsidRDefault="006224DD">
    <w:pPr>
      <w:jc w:val="right"/>
    </w:pPr>
  </w:p>
  <w:p w14:paraId="6BFAD975" w14:textId="77777777" w:rsidR="006224DD" w:rsidRDefault="00111FBF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5ACDA48" wp14:editId="133EC896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2EB457" w14:textId="77777777" w:rsidR="006224DD" w:rsidRDefault="006224D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4DD"/>
    <w:rsid w:val="00022B7B"/>
    <w:rsid w:val="0003138D"/>
    <w:rsid w:val="00111FBF"/>
    <w:rsid w:val="001662D9"/>
    <w:rsid w:val="00231D41"/>
    <w:rsid w:val="002C7E27"/>
    <w:rsid w:val="002D43B7"/>
    <w:rsid w:val="002F1C66"/>
    <w:rsid w:val="00305122"/>
    <w:rsid w:val="003161B6"/>
    <w:rsid w:val="00322DDA"/>
    <w:rsid w:val="003570AF"/>
    <w:rsid w:val="003739D1"/>
    <w:rsid w:val="00417E8A"/>
    <w:rsid w:val="00437271"/>
    <w:rsid w:val="0054690C"/>
    <w:rsid w:val="006224DD"/>
    <w:rsid w:val="00632E8E"/>
    <w:rsid w:val="0063571B"/>
    <w:rsid w:val="006F5DE2"/>
    <w:rsid w:val="007B2C69"/>
    <w:rsid w:val="007E3743"/>
    <w:rsid w:val="008312CB"/>
    <w:rsid w:val="00853581"/>
    <w:rsid w:val="00897B17"/>
    <w:rsid w:val="008B18CD"/>
    <w:rsid w:val="008D403E"/>
    <w:rsid w:val="00910827"/>
    <w:rsid w:val="009231C5"/>
    <w:rsid w:val="00A12419"/>
    <w:rsid w:val="00A36746"/>
    <w:rsid w:val="00B96DE6"/>
    <w:rsid w:val="00C42A13"/>
    <w:rsid w:val="00CB5106"/>
    <w:rsid w:val="00D01A61"/>
    <w:rsid w:val="00D40EB4"/>
    <w:rsid w:val="00D74BB2"/>
    <w:rsid w:val="00D8044D"/>
    <w:rsid w:val="00D83FEA"/>
    <w:rsid w:val="00E125EA"/>
    <w:rsid w:val="00E8668D"/>
    <w:rsid w:val="00E92EEE"/>
    <w:rsid w:val="00EA203B"/>
    <w:rsid w:val="00F4705B"/>
    <w:rsid w:val="00FC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2CCAA9"/>
  <w15:docId w15:val="{46F9D575-2A2A-4918-986F-F7DADDDE4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nfase">
    <w:name w:val="Emphasis"/>
    <w:basedOn w:val="Fontepargpadro"/>
    <w:uiPriority w:val="20"/>
    <w:qFormat/>
    <w:rsid w:val="001662D9"/>
    <w:rPr>
      <w:i/>
      <w:iCs/>
    </w:rPr>
  </w:style>
  <w:style w:type="character" w:styleId="Forte">
    <w:name w:val="Strong"/>
    <w:basedOn w:val="Fontepargpadro"/>
    <w:uiPriority w:val="22"/>
    <w:qFormat/>
    <w:rsid w:val="001662D9"/>
    <w:rPr>
      <w:b/>
      <w:bCs/>
    </w:rPr>
  </w:style>
  <w:style w:type="paragraph" w:customStyle="1" w:styleId="isselectedend">
    <w:name w:val="isselectedend"/>
    <w:basedOn w:val="Normal"/>
    <w:rsid w:val="00E92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92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36746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3674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36746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D8044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04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45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laudinha72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5F1DC-8BBE-434F-B828-84378A34E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1415</Words>
  <Characters>7641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Claudinha Nascimento</cp:lastModifiedBy>
  <cp:revision>2</cp:revision>
  <dcterms:created xsi:type="dcterms:W3CDTF">2026-08-15T20:01:00Z</dcterms:created>
  <dcterms:modified xsi:type="dcterms:W3CDTF">2026-08-15T20:01:00Z</dcterms:modified>
</cp:coreProperties>
</file>