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7BF31" w14:textId="00937C79" w:rsidR="005B205C" w:rsidRPr="00121A82" w:rsidRDefault="00121A82" w:rsidP="00121A82">
      <w:pPr>
        <w:jc w:val="center"/>
        <w:rPr>
          <w:b/>
          <w:bCs/>
          <w:sz w:val="24"/>
          <w:szCs w:val="24"/>
        </w:rPr>
      </w:pPr>
      <w:r>
        <w:rPr>
          <w:b/>
          <w:bCs/>
          <w:sz w:val="24"/>
          <w:szCs w:val="24"/>
        </w:rPr>
        <w:t>DECOLONIZAR AS INFÂNCIAS: AS VOZES DAS CRIANÇAS COMO PERSPECTIVAS OUTRAS</w:t>
      </w:r>
    </w:p>
    <w:p w14:paraId="28FE7A7E" w14:textId="77777777" w:rsidR="005B205C" w:rsidRPr="005B205C" w:rsidRDefault="005B205C" w:rsidP="005B205C">
      <w:pPr>
        <w:jc w:val="both"/>
        <w:rPr>
          <w:sz w:val="24"/>
          <w:szCs w:val="24"/>
        </w:rPr>
      </w:pPr>
    </w:p>
    <w:p w14:paraId="45ADF662" w14:textId="77777777" w:rsidR="005B205C" w:rsidRPr="005B205C" w:rsidRDefault="005B205C" w:rsidP="005B205C">
      <w:pPr>
        <w:jc w:val="both"/>
        <w:rPr>
          <w:sz w:val="24"/>
          <w:szCs w:val="24"/>
        </w:rPr>
      </w:pPr>
    </w:p>
    <w:p w14:paraId="3DD1F9CC" w14:textId="77777777" w:rsidR="005B205C" w:rsidRPr="005B205C" w:rsidRDefault="005B205C" w:rsidP="005B205C">
      <w:pPr>
        <w:jc w:val="center"/>
        <w:rPr>
          <w:b/>
          <w:bCs/>
          <w:sz w:val="24"/>
          <w:szCs w:val="24"/>
        </w:rPr>
      </w:pPr>
      <w:r w:rsidRPr="005B205C">
        <w:rPr>
          <w:b/>
          <w:bCs/>
          <w:sz w:val="24"/>
          <w:szCs w:val="24"/>
        </w:rPr>
        <w:t>O pertencimento cultural nos processos de criação teatral com estudantes do ensino fundamental de uma escola pública do Distrito Federal</w:t>
      </w:r>
    </w:p>
    <w:p w14:paraId="3B68EC0A" w14:textId="77777777" w:rsidR="005B205C" w:rsidRPr="005B205C" w:rsidRDefault="005B205C" w:rsidP="005B205C">
      <w:pPr>
        <w:jc w:val="both"/>
        <w:rPr>
          <w:sz w:val="24"/>
          <w:szCs w:val="24"/>
        </w:rPr>
      </w:pPr>
    </w:p>
    <w:p w14:paraId="433408CF" w14:textId="77777777" w:rsidR="005B205C" w:rsidRPr="005B205C" w:rsidRDefault="005B205C" w:rsidP="005B205C">
      <w:pPr>
        <w:jc w:val="both"/>
        <w:rPr>
          <w:sz w:val="24"/>
          <w:szCs w:val="24"/>
        </w:rPr>
      </w:pPr>
    </w:p>
    <w:p w14:paraId="3E42CA7C" w14:textId="77777777" w:rsidR="005B205C" w:rsidRPr="005B205C" w:rsidRDefault="005B205C" w:rsidP="005B205C">
      <w:pPr>
        <w:jc w:val="right"/>
        <w:rPr>
          <w:sz w:val="24"/>
          <w:szCs w:val="24"/>
        </w:rPr>
      </w:pPr>
      <w:r w:rsidRPr="005B205C">
        <w:rPr>
          <w:sz w:val="24"/>
          <w:szCs w:val="24"/>
        </w:rPr>
        <w:t>Octávio A V Silva, Universidade de Brasília, octaviovilaronga@gmail.com</w:t>
      </w:r>
    </w:p>
    <w:p w14:paraId="235ED65C" w14:textId="77777777" w:rsidR="005B205C" w:rsidRPr="005B205C" w:rsidRDefault="005B205C" w:rsidP="005B205C">
      <w:pPr>
        <w:jc w:val="right"/>
        <w:rPr>
          <w:sz w:val="24"/>
          <w:szCs w:val="24"/>
        </w:rPr>
      </w:pPr>
      <w:r w:rsidRPr="005B205C">
        <w:rPr>
          <w:sz w:val="24"/>
          <w:szCs w:val="24"/>
        </w:rPr>
        <w:t xml:space="preserve">Simone A </w:t>
      </w:r>
      <w:proofErr w:type="spellStart"/>
      <w:r w:rsidRPr="005B205C">
        <w:rPr>
          <w:sz w:val="24"/>
          <w:szCs w:val="24"/>
        </w:rPr>
        <w:t>Lisniowski</w:t>
      </w:r>
      <w:proofErr w:type="spellEnd"/>
      <w:r w:rsidRPr="005B205C">
        <w:rPr>
          <w:sz w:val="24"/>
          <w:szCs w:val="24"/>
        </w:rPr>
        <w:t>, Universidade de Brasília, psicosimone@gmail.com</w:t>
      </w:r>
    </w:p>
    <w:p w14:paraId="08523CB3" w14:textId="77777777" w:rsidR="005B205C" w:rsidRPr="005B205C" w:rsidRDefault="005B205C" w:rsidP="005B205C">
      <w:pPr>
        <w:rPr>
          <w:sz w:val="24"/>
          <w:szCs w:val="24"/>
        </w:rPr>
      </w:pPr>
    </w:p>
    <w:p w14:paraId="55EF581F" w14:textId="77777777" w:rsidR="005B205C" w:rsidRPr="005B205C" w:rsidRDefault="005B205C" w:rsidP="005B205C">
      <w:pPr>
        <w:rPr>
          <w:sz w:val="24"/>
          <w:szCs w:val="24"/>
        </w:rPr>
      </w:pPr>
    </w:p>
    <w:p w14:paraId="5A1486D6" w14:textId="77777777" w:rsidR="005B205C" w:rsidRPr="005B205C" w:rsidRDefault="005B205C" w:rsidP="005B205C">
      <w:pPr>
        <w:rPr>
          <w:b/>
          <w:bCs/>
          <w:sz w:val="24"/>
          <w:szCs w:val="24"/>
        </w:rPr>
      </w:pPr>
      <w:r w:rsidRPr="005B205C">
        <w:rPr>
          <w:b/>
          <w:bCs/>
          <w:sz w:val="24"/>
          <w:szCs w:val="24"/>
        </w:rPr>
        <w:t>RESUMO</w:t>
      </w:r>
    </w:p>
    <w:p w14:paraId="608596F5" w14:textId="377808EE" w:rsidR="005B205C" w:rsidRPr="005B205C" w:rsidRDefault="005B205C" w:rsidP="00E533E5">
      <w:pPr>
        <w:spacing w:line="360" w:lineRule="auto"/>
        <w:jc w:val="both"/>
        <w:rPr>
          <w:sz w:val="24"/>
          <w:szCs w:val="24"/>
        </w:rPr>
      </w:pPr>
      <w:r w:rsidRPr="005B205C">
        <w:rPr>
          <w:sz w:val="24"/>
          <w:szCs w:val="24"/>
        </w:rPr>
        <w:t xml:space="preserve">Esta pesquisa surgiu a partir da prática docente na área de Arte/Educação em turmas do Ensino Fundamental anos finais em uma escola pública do Distrito Federal. A partir dessa prática surgiu a necessidade de compreender as contradições na experiência dos estudantes diante das propostas de fomento da interculturalidade e da formação humana integral incentivadas </w:t>
      </w:r>
      <w:r w:rsidR="009F44AC">
        <w:rPr>
          <w:sz w:val="24"/>
          <w:szCs w:val="24"/>
        </w:rPr>
        <w:t xml:space="preserve">por </w:t>
      </w:r>
      <w:r w:rsidR="0000773F">
        <w:rPr>
          <w:sz w:val="24"/>
          <w:szCs w:val="24"/>
        </w:rPr>
        <w:t>propostas curriculares</w:t>
      </w:r>
      <w:r w:rsidRPr="005B205C">
        <w:rPr>
          <w:sz w:val="24"/>
          <w:szCs w:val="24"/>
        </w:rPr>
        <w:t xml:space="preserve"> como a BNCC e outras propostas curriculares críticas em conflito com as persistentes práticas autoritárias de lógicas hegemônicas colonizadoras também presentes nas práticas pedagógicas da escola. Assim, é na dinâmica da sala de aula que os avanços em direção à valorização dos saberes tradicionais se deparam com as tensões entre o discurso institucional e a realidade escolar hegemônica. Nesse contexto, o problema central da pesquisa está nos impactos desse conflito sobre os processos de pertencimento cultural dos estudantes na escola, uma vez que, muitas vezes, seus saberes não são legitimados, suas experiências são silenciadas e seu potencial de criação é interrompido. Esse epistemicídio, conforme discutido por Santos (2009), é confrontado em práticas teatrais de (</w:t>
      </w:r>
      <w:proofErr w:type="spellStart"/>
      <w:r w:rsidRPr="005B205C">
        <w:rPr>
          <w:sz w:val="24"/>
          <w:szCs w:val="24"/>
        </w:rPr>
        <w:t>re</w:t>
      </w:r>
      <w:proofErr w:type="spellEnd"/>
      <w:r w:rsidRPr="005B205C">
        <w:rPr>
          <w:sz w:val="24"/>
          <w:szCs w:val="24"/>
        </w:rPr>
        <w:t xml:space="preserve">)conexão, que resgatam as memórias e referências culturais dos estudantes, potencializando a criação artística e o pensamento crítico em um movimento contínuo de busca de emancipação. O objetivo desta pesquisa é investigar de que maneira o pertencimento cultural dos estudantes atravessa os processos de criação teatral, especialmente nessa contradição entre o protagonismo estudantil e os saberes hegemônicos. O trabalho adota uma abordagem etnográfica a partir do uso de exercícios teatrais do Teatro do Oprimido com a realização de oficinas, rodas de conversa e entrevistas ao longo de 4 meses. Esta pesquisa ancora-se na decolonialidade, problematizando hierarquias de poder, saberes e práticas que estruturam a escola e fundamentando a discussão a partir do conceito “decolonialidade do poder” de </w:t>
      </w:r>
      <w:proofErr w:type="spellStart"/>
      <w:r w:rsidRPr="005B205C">
        <w:rPr>
          <w:sz w:val="24"/>
          <w:szCs w:val="24"/>
        </w:rPr>
        <w:t>Quijano</w:t>
      </w:r>
      <w:proofErr w:type="spellEnd"/>
      <w:r w:rsidRPr="005B205C">
        <w:rPr>
          <w:sz w:val="24"/>
          <w:szCs w:val="24"/>
        </w:rPr>
        <w:t xml:space="preserve"> </w:t>
      </w:r>
      <w:r w:rsidRPr="005B205C">
        <w:rPr>
          <w:sz w:val="24"/>
          <w:szCs w:val="24"/>
        </w:rPr>
        <w:lastRenderedPageBreak/>
        <w:t xml:space="preserve">(2005) e do conceito de “colonialidade do saber” de Lander (2005). A crítica ao eurocentrismo epistemológico e a estratégia de interculturalidade crítica de Catherine Walsh (2012) estão no horizonte da pesquisa e da metodologia, articuladas como estratégias para descolonizar a educação, valorizando o pertencimento cultural dos estudantes na escola. Foram fundamentais para a reflexão desta pesquisa o conceito de “giro decolonial” </w:t>
      </w:r>
      <w:r w:rsidR="00AB6CA0">
        <w:rPr>
          <w:sz w:val="24"/>
          <w:szCs w:val="24"/>
        </w:rPr>
        <w:t xml:space="preserve">(Maldonado-Torres, 2005; </w:t>
      </w:r>
      <w:proofErr w:type="spellStart"/>
      <w:r w:rsidR="00AB6CA0">
        <w:rPr>
          <w:sz w:val="24"/>
          <w:szCs w:val="24"/>
        </w:rPr>
        <w:t>Mignolo</w:t>
      </w:r>
      <w:proofErr w:type="spellEnd"/>
      <w:r w:rsidR="00AB6CA0">
        <w:rPr>
          <w:sz w:val="24"/>
          <w:szCs w:val="24"/>
        </w:rPr>
        <w:t>, 2005)</w:t>
      </w:r>
      <w:r w:rsidR="00AB6CA0">
        <w:rPr>
          <w:sz w:val="24"/>
          <w:szCs w:val="24"/>
        </w:rPr>
        <w:t xml:space="preserve"> </w:t>
      </w:r>
      <w:r w:rsidRPr="005B205C">
        <w:rPr>
          <w:sz w:val="24"/>
          <w:szCs w:val="24"/>
        </w:rPr>
        <w:t>e a noção de “colonialidade do ser”</w:t>
      </w:r>
      <w:r w:rsidR="00AB6CA0">
        <w:rPr>
          <w:sz w:val="24"/>
          <w:szCs w:val="24"/>
        </w:rPr>
        <w:t xml:space="preserve"> (Maldonado-Torres, 2005)</w:t>
      </w:r>
      <w:r w:rsidRPr="005B205C">
        <w:rPr>
          <w:sz w:val="24"/>
          <w:szCs w:val="24"/>
        </w:rPr>
        <w:t xml:space="preserve">, que possibilitam analisar como as identidades e modos de existência são hierarquizados por padrões reproduzidos na escola e como essas dimensões de poder são estruturadas pelo legado do colonialismo. A superação dessas opressões implica no uso de estratégias de emancipação como as desenvolvidas por Augusto Boal no teatro e por Paulo Freire na educação. Estas são propostas de combate aos discursos e às práticas colonialistas, voltadas à valorização dos saberes dos sujeitos diversos como ferramentas de emancipação cultural, social e econômica. A partir da prática docente  foram identificadas questões  preliminares que incentivaram o aprofundamento da pesquisa: 1) A tensão entre o discurso e a prática, pois embora a BNCC e o Currículo em Movimento proponham a interculturalidade, as práticas hegemônicas e </w:t>
      </w:r>
      <w:proofErr w:type="spellStart"/>
      <w:r w:rsidRPr="005B205C">
        <w:rPr>
          <w:sz w:val="24"/>
          <w:szCs w:val="24"/>
        </w:rPr>
        <w:t>monoculturais</w:t>
      </w:r>
      <w:proofErr w:type="spellEnd"/>
      <w:r w:rsidRPr="005B205C">
        <w:rPr>
          <w:sz w:val="24"/>
          <w:szCs w:val="24"/>
        </w:rPr>
        <w:t xml:space="preserve"> persistem em limitar o pensamento crítico, 2) os alunos demonstram liberdade e autenticidade fora da sala de aula mas não conseguem participar com fluidez de atividades dentro da escola demonstrando um bloqueio criativo, 3) a passividade discente está mais relacionada à desqualificação dos saberes dos estudantes do que de um suposto desinteresse pelo conhecimento e pelo mundo, 4) as atividades de teatro t</w:t>
      </w:r>
      <w:r w:rsidR="009F44AC">
        <w:rPr>
          <w:sz w:val="24"/>
          <w:szCs w:val="24"/>
        </w:rPr>
        <w:t>ê</w:t>
      </w:r>
      <w:r w:rsidRPr="005B205C">
        <w:rPr>
          <w:sz w:val="24"/>
          <w:szCs w:val="24"/>
        </w:rPr>
        <w:t>m sido importantes no processo de pertencimento cultural e fortalecimento de identidades subalternizadas na escola. Dessa forma, esta pesquisa parte de uma práxis transformadora que pressupõe um diálogo no qual o saber comunitário seja valorizado. Assim, a pesquisa, ao legitimar a vivência dos estudantes busca encontrar formas de transformar a passividade em criação, a opressão epistêmica em emancipação e compreender como a escola pode ser agente de pertencimento cultural e de criação decolonial.</w:t>
      </w:r>
    </w:p>
    <w:p w14:paraId="7FFD1F53" w14:textId="77777777" w:rsidR="005B205C" w:rsidRPr="005B205C" w:rsidRDefault="005B205C" w:rsidP="005B205C">
      <w:pPr>
        <w:jc w:val="both"/>
        <w:rPr>
          <w:sz w:val="24"/>
          <w:szCs w:val="24"/>
        </w:rPr>
      </w:pPr>
    </w:p>
    <w:p w14:paraId="2CA7A9B1" w14:textId="77777777" w:rsidR="005B205C" w:rsidRPr="005B205C" w:rsidRDefault="005B205C" w:rsidP="005B205C">
      <w:pPr>
        <w:jc w:val="both"/>
        <w:rPr>
          <w:b/>
          <w:bCs/>
          <w:sz w:val="24"/>
          <w:szCs w:val="24"/>
        </w:rPr>
      </w:pPr>
      <w:r w:rsidRPr="005B205C">
        <w:rPr>
          <w:b/>
          <w:bCs/>
          <w:sz w:val="24"/>
          <w:szCs w:val="24"/>
        </w:rPr>
        <w:t>PALAVRAS-CHAVE</w:t>
      </w:r>
    </w:p>
    <w:p w14:paraId="3725AC90" w14:textId="77777777" w:rsidR="005B205C" w:rsidRPr="005B205C" w:rsidRDefault="005B205C" w:rsidP="005B205C">
      <w:pPr>
        <w:jc w:val="both"/>
      </w:pPr>
      <w:r w:rsidRPr="005B205C">
        <w:t>Pertencimento cultural; escola; decolonialidade; teatro.</w:t>
      </w:r>
    </w:p>
    <w:p w14:paraId="270C2601" w14:textId="77777777" w:rsidR="00E533E5" w:rsidRDefault="00E533E5" w:rsidP="005B205C">
      <w:pPr>
        <w:jc w:val="both"/>
        <w:rPr>
          <w:b/>
          <w:bCs/>
          <w:sz w:val="24"/>
          <w:szCs w:val="24"/>
        </w:rPr>
      </w:pPr>
    </w:p>
    <w:p w14:paraId="04AC3E02" w14:textId="7B8E8EE0" w:rsidR="005B205C" w:rsidRPr="005B205C" w:rsidRDefault="005B205C" w:rsidP="005B205C">
      <w:pPr>
        <w:jc w:val="both"/>
        <w:rPr>
          <w:b/>
          <w:bCs/>
          <w:sz w:val="24"/>
          <w:szCs w:val="24"/>
        </w:rPr>
      </w:pPr>
      <w:r w:rsidRPr="005B205C">
        <w:rPr>
          <w:b/>
          <w:bCs/>
          <w:sz w:val="24"/>
          <w:szCs w:val="24"/>
        </w:rPr>
        <w:t xml:space="preserve">REFERÊNCIAS </w:t>
      </w:r>
    </w:p>
    <w:p w14:paraId="5ED372CB" w14:textId="583E082E" w:rsidR="005B205C" w:rsidRPr="005B205C" w:rsidRDefault="005B205C" w:rsidP="005B205C">
      <w:pPr>
        <w:rPr>
          <w:sz w:val="24"/>
          <w:szCs w:val="24"/>
        </w:rPr>
      </w:pPr>
      <w:r w:rsidRPr="005B205C">
        <w:rPr>
          <w:sz w:val="24"/>
          <w:szCs w:val="24"/>
        </w:rPr>
        <w:t xml:space="preserve">ARAUJO, Lindomar da Silva. </w:t>
      </w:r>
      <w:r w:rsidRPr="00E533E5">
        <w:rPr>
          <w:b/>
          <w:bCs/>
          <w:sz w:val="24"/>
          <w:szCs w:val="24"/>
        </w:rPr>
        <w:t>Teatro do Oprimido: pedagogia teatral decolonial?</w:t>
      </w:r>
      <w:r w:rsidRPr="005B205C">
        <w:rPr>
          <w:sz w:val="24"/>
          <w:szCs w:val="24"/>
        </w:rPr>
        <w:t xml:space="preserve"> Instrumento: Revista de Estudo e Pesquisa em Educação, v. 23, n. 1, p. 22-41, 2021.</w:t>
      </w:r>
    </w:p>
    <w:p w14:paraId="70E7CC0E" w14:textId="77777777" w:rsidR="005B205C" w:rsidRPr="005B205C" w:rsidRDefault="005B205C" w:rsidP="005B205C">
      <w:pPr>
        <w:jc w:val="both"/>
        <w:rPr>
          <w:sz w:val="24"/>
          <w:szCs w:val="24"/>
        </w:rPr>
      </w:pPr>
    </w:p>
    <w:p w14:paraId="078C2E06" w14:textId="77777777" w:rsidR="005B205C" w:rsidRPr="005B205C" w:rsidRDefault="005B205C" w:rsidP="005B205C">
      <w:pPr>
        <w:jc w:val="both"/>
        <w:rPr>
          <w:sz w:val="24"/>
          <w:szCs w:val="24"/>
        </w:rPr>
      </w:pPr>
      <w:r w:rsidRPr="005B205C">
        <w:rPr>
          <w:sz w:val="24"/>
          <w:szCs w:val="24"/>
        </w:rPr>
        <w:lastRenderedPageBreak/>
        <w:t xml:space="preserve">BOAL, Augusto. </w:t>
      </w:r>
      <w:r w:rsidRPr="005B205C">
        <w:rPr>
          <w:b/>
          <w:bCs/>
          <w:sz w:val="24"/>
          <w:szCs w:val="24"/>
        </w:rPr>
        <w:t>Jogos para atores e não atores</w:t>
      </w:r>
      <w:r w:rsidRPr="005B205C">
        <w:rPr>
          <w:sz w:val="24"/>
          <w:szCs w:val="24"/>
        </w:rPr>
        <w:t>. Rio de Janeiro: Record, 1998.</w:t>
      </w:r>
    </w:p>
    <w:p w14:paraId="27CE5640" w14:textId="77777777" w:rsidR="005B205C" w:rsidRPr="005B205C" w:rsidRDefault="005B205C" w:rsidP="005B205C">
      <w:pPr>
        <w:jc w:val="both"/>
        <w:rPr>
          <w:sz w:val="24"/>
          <w:szCs w:val="24"/>
        </w:rPr>
      </w:pPr>
    </w:p>
    <w:p w14:paraId="31CFA653" w14:textId="77777777" w:rsidR="005B205C" w:rsidRPr="005B205C" w:rsidRDefault="005B205C" w:rsidP="005B205C">
      <w:pPr>
        <w:jc w:val="both"/>
        <w:rPr>
          <w:sz w:val="24"/>
          <w:szCs w:val="24"/>
        </w:rPr>
      </w:pPr>
      <w:r w:rsidRPr="005B205C">
        <w:rPr>
          <w:sz w:val="24"/>
          <w:szCs w:val="24"/>
        </w:rPr>
        <w:t xml:space="preserve">BOAL, Augusto. </w:t>
      </w:r>
      <w:r w:rsidRPr="005B205C">
        <w:rPr>
          <w:b/>
          <w:bCs/>
          <w:sz w:val="24"/>
          <w:szCs w:val="24"/>
        </w:rPr>
        <w:t>Teatro do oprimido e outras poéticas políticas.</w:t>
      </w:r>
      <w:r w:rsidRPr="005B205C">
        <w:rPr>
          <w:sz w:val="24"/>
          <w:szCs w:val="24"/>
        </w:rPr>
        <w:t xml:space="preserve"> 6. ed. Rio de Janeiro: Civilização Brasileira, 1991.</w:t>
      </w:r>
    </w:p>
    <w:p w14:paraId="062C862A" w14:textId="77777777" w:rsidR="005B205C" w:rsidRPr="005B205C" w:rsidRDefault="005B205C" w:rsidP="005B205C">
      <w:pPr>
        <w:jc w:val="both"/>
        <w:rPr>
          <w:sz w:val="24"/>
          <w:szCs w:val="24"/>
        </w:rPr>
      </w:pPr>
    </w:p>
    <w:p w14:paraId="75239BB9" w14:textId="443F4BCE" w:rsidR="005B205C" w:rsidRPr="005B205C" w:rsidRDefault="005B205C" w:rsidP="005B205C">
      <w:pPr>
        <w:jc w:val="both"/>
        <w:rPr>
          <w:sz w:val="24"/>
          <w:szCs w:val="24"/>
        </w:rPr>
      </w:pPr>
      <w:r w:rsidRPr="005B205C">
        <w:rPr>
          <w:sz w:val="24"/>
          <w:szCs w:val="24"/>
        </w:rPr>
        <w:t xml:space="preserve">BRASIL. Ministério da Educação. </w:t>
      </w:r>
      <w:r w:rsidRPr="005B205C">
        <w:rPr>
          <w:b/>
          <w:bCs/>
          <w:sz w:val="24"/>
          <w:szCs w:val="24"/>
        </w:rPr>
        <w:t>Base Nacional Comum Curricular.</w:t>
      </w:r>
      <w:r w:rsidRPr="005B205C">
        <w:rPr>
          <w:sz w:val="24"/>
          <w:szCs w:val="24"/>
        </w:rPr>
        <w:t xml:space="preserve"> Brasília: MEC, 2018. Disponível em: </w:t>
      </w:r>
      <w:r w:rsidR="00E533E5">
        <w:rPr>
          <w:sz w:val="24"/>
          <w:szCs w:val="24"/>
        </w:rPr>
        <w:t>&lt;</w:t>
      </w:r>
      <w:hyperlink r:id="rId6" w:history="1">
        <w:r w:rsidRPr="00E533E5">
          <w:rPr>
            <w:rStyle w:val="Hyperlink"/>
            <w:sz w:val="24"/>
            <w:szCs w:val="24"/>
          </w:rPr>
          <w:t>https://basenacionalcomum.mec.gov.br</w:t>
        </w:r>
      </w:hyperlink>
      <w:r w:rsidR="00E533E5">
        <w:rPr>
          <w:sz w:val="24"/>
          <w:szCs w:val="24"/>
        </w:rPr>
        <w:t>&gt;</w:t>
      </w:r>
    </w:p>
    <w:p w14:paraId="7219F753" w14:textId="77777777" w:rsidR="005B205C" w:rsidRPr="005B205C" w:rsidRDefault="005B205C" w:rsidP="005B205C">
      <w:pPr>
        <w:jc w:val="both"/>
        <w:rPr>
          <w:sz w:val="24"/>
          <w:szCs w:val="24"/>
        </w:rPr>
      </w:pPr>
    </w:p>
    <w:p w14:paraId="69321360" w14:textId="7A489AB1" w:rsidR="005B205C" w:rsidRPr="005B205C" w:rsidRDefault="005B205C" w:rsidP="005B205C">
      <w:pPr>
        <w:jc w:val="both"/>
        <w:rPr>
          <w:sz w:val="24"/>
          <w:szCs w:val="24"/>
        </w:rPr>
      </w:pPr>
      <w:r w:rsidRPr="005B205C">
        <w:rPr>
          <w:sz w:val="24"/>
          <w:szCs w:val="24"/>
        </w:rPr>
        <w:t xml:space="preserve">CAMARGOS, Júlia. </w:t>
      </w:r>
      <w:r w:rsidRPr="005B205C">
        <w:rPr>
          <w:b/>
          <w:bCs/>
          <w:sz w:val="24"/>
          <w:szCs w:val="24"/>
        </w:rPr>
        <w:t>Formação teatral marcada pela educação popular e cultura popular: um meio de emancipação para jovens.</w:t>
      </w:r>
      <w:r w:rsidRPr="005B205C">
        <w:rPr>
          <w:sz w:val="24"/>
          <w:szCs w:val="24"/>
        </w:rPr>
        <w:t xml:space="preserve"> Revista Brasileira de Estudos da Presença, Porto Alegre, v. 14, n. 1, 2023</w:t>
      </w:r>
      <w:r w:rsidR="009F44AC">
        <w:rPr>
          <w:sz w:val="24"/>
          <w:szCs w:val="24"/>
        </w:rPr>
        <w:t>.</w:t>
      </w:r>
    </w:p>
    <w:p w14:paraId="411E3D31" w14:textId="77777777" w:rsidR="005B205C" w:rsidRPr="005B205C" w:rsidRDefault="005B205C" w:rsidP="005B205C">
      <w:pPr>
        <w:jc w:val="both"/>
        <w:rPr>
          <w:sz w:val="24"/>
          <w:szCs w:val="24"/>
        </w:rPr>
      </w:pPr>
    </w:p>
    <w:p w14:paraId="401E492F" w14:textId="146BE2AC" w:rsidR="005B205C" w:rsidRPr="005B205C" w:rsidRDefault="005B205C" w:rsidP="005B205C">
      <w:pPr>
        <w:jc w:val="both"/>
        <w:rPr>
          <w:sz w:val="24"/>
          <w:szCs w:val="24"/>
        </w:rPr>
      </w:pPr>
      <w:r w:rsidRPr="005B205C">
        <w:rPr>
          <w:sz w:val="24"/>
          <w:szCs w:val="24"/>
        </w:rPr>
        <w:t xml:space="preserve">CANDAU, Vera Maria Ferrão. </w:t>
      </w:r>
      <w:r w:rsidRPr="005B205C">
        <w:rPr>
          <w:b/>
          <w:bCs/>
          <w:sz w:val="24"/>
          <w:szCs w:val="24"/>
        </w:rPr>
        <w:t>Diferenças, educação intercultural e decolonialidade: temas insurgentes.</w:t>
      </w:r>
      <w:r w:rsidRPr="005B205C">
        <w:rPr>
          <w:sz w:val="24"/>
          <w:szCs w:val="24"/>
        </w:rPr>
        <w:t xml:space="preserve"> Revista Espaço do Currículo, João Pessoa, v. 13, n. especial, p. 678-686, dez. 2020.</w:t>
      </w:r>
    </w:p>
    <w:p w14:paraId="64EA5562" w14:textId="77777777" w:rsidR="005B205C" w:rsidRPr="005B205C" w:rsidRDefault="005B205C" w:rsidP="005B205C">
      <w:pPr>
        <w:jc w:val="both"/>
        <w:rPr>
          <w:sz w:val="24"/>
          <w:szCs w:val="24"/>
        </w:rPr>
      </w:pPr>
    </w:p>
    <w:p w14:paraId="0CDA6B1E" w14:textId="55A4E434" w:rsidR="005B205C" w:rsidRPr="005B205C" w:rsidRDefault="005B205C" w:rsidP="005B205C">
      <w:pPr>
        <w:jc w:val="both"/>
        <w:rPr>
          <w:sz w:val="24"/>
          <w:szCs w:val="24"/>
        </w:rPr>
      </w:pPr>
      <w:r w:rsidRPr="005B205C">
        <w:rPr>
          <w:sz w:val="24"/>
          <w:szCs w:val="24"/>
        </w:rPr>
        <w:t xml:space="preserve">DISTRITO FEDERAL. Secretaria de Estado de Educação do Distrito Federal (SEEDF). </w:t>
      </w:r>
      <w:r w:rsidRPr="005B205C">
        <w:rPr>
          <w:b/>
          <w:bCs/>
          <w:sz w:val="24"/>
          <w:szCs w:val="24"/>
        </w:rPr>
        <w:t>Currículo em Movimento do Distrito Federal: Ensino Fundamental: Anos Iniciais – Anos Finais.</w:t>
      </w:r>
      <w:r w:rsidRPr="005B205C">
        <w:rPr>
          <w:sz w:val="24"/>
          <w:szCs w:val="24"/>
        </w:rPr>
        <w:t xml:space="preserve"> 2. ed. Brasília: SEEDF, 2018. Disponível em: </w:t>
      </w:r>
      <w:r w:rsidR="00E533E5">
        <w:rPr>
          <w:sz w:val="24"/>
          <w:szCs w:val="24"/>
        </w:rPr>
        <w:t>&lt;</w:t>
      </w:r>
      <w:hyperlink r:id="rId7" w:history="1">
        <w:r w:rsidRPr="00E533E5">
          <w:rPr>
            <w:rStyle w:val="Hyperlink"/>
            <w:sz w:val="24"/>
            <w:szCs w:val="24"/>
          </w:rPr>
          <w:t>https://educacao.df.gov.br/documents/d/seedf/Curriculo_em_movimento_do_Distrito_Federal___Ensino_fundamental__2018_</w:t>
        </w:r>
        <w:r w:rsidR="00E533E5" w:rsidRPr="00E533E5">
          <w:rPr>
            <w:rStyle w:val="Hyperlink"/>
            <w:sz w:val="24"/>
            <w:szCs w:val="24"/>
          </w:rPr>
          <w:t>&gt;</w:t>
        </w:r>
      </w:hyperlink>
    </w:p>
    <w:p w14:paraId="324C218F" w14:textId="77777777" w:rsidR="005B205C" w:rsidRPr="005B205C" w:rsidRDefault="005B205C" w:rsidP="005B205C">
      <w:pPr>
        <w:jc w:val="both"/>
        <w:rPr>
          <w:sz w:val="24"/>
          <w:szCs w:val="24"/>
        </w:rPr>
      </w:pPr>
    </w:p>
    <w:p w14:paraId="2DB0459D" w14:textId="77777777" w:rsidR="005B205C" w:rsidRPr="005B205C" w:rsidRDefault="005B205C" w:rsidP="005B205C">
      <w:pPr>
        <w:jc w:val="both"/>
        <w:rPr>
          <w:sz w:val="24"/>
          <w:szCs w:val="24"/>
        </w:rPr>
      </w:pPr>
      <w:r w:rsidRPr="005B205C">
        <w:rPr>
          <w:sz w:val="24"/>
          <w:szCs w:val="24"/>
        </w:rPr>
        <w:t xml:space="preserve">HOOKS, bell. </w:t>
      </w:r>
      <w:r w:rsidRPr="005B205C">
        <w:rPr>
          <w:b/>
          <w:bCs/>
          <w:sz w:val="24"/>
          <w:szCs w:val="24"/>
        </w:rPr>
        <w:t>Pertencimento: uma cultura do lugar.</w:t>
      </w:r>
      <w:r w:rsidRPr="005B205C">
        <w:rPr>
          <w:sz w:val="24"/>
          <w:szCs w:val="24"/>
        </w:rPr>
        <w:t xml:space="preserve"> Tradução de Stephanie Borges. São Paulo: Elefante, 2022.</w:t>
      </w:r>
    </w:p>
    <w:p w14:paraId="5E6B69A1" w14:textId="77777777" w:rsidR="005B205C" w:rsidRPr="005B205C" w:rsidRDefault="005B205C" w:rsidP="005B205C">
      <w:pPr>
        <w:jc w:val="both"/>
        <w:rPr>
          <w:sz w:val="24"/>
          <w:szCs w:val="24"/>
        </w:rPr>
      </w:pPr>
    </w:p>
    <w:p w14:paraId="59C03E45" w14:textId="77777777" w:rsidR="005B205C" w:rsidRPr="005B205C" w:rsidRDefault="005B205C" w:rsidP="005B205C">
      <w:pPr>
        <w:jc w:val="both"/>
        <w:rPr>
          <w:sz w:val="24"/>
          <w:szCs w:val="24"/>
        </w:rPr>
      </w:pPr>
      <w:r w:rsidRPr="005B205C">
        <w:rPr>
          <w:sz w:val="24"/>
          <w:szCs w:val="24"/>
        </w:rPr>
        <w:t xml:space="preserve">LANDER, Edgardo (org.). </w:t>
      </w:r>
      <w:r w:rsidRPr="005B205C">
        <w:rPr>
          <w:b/>
          <w:bCs/>
          <w:sz w:val="24"/>
          <w:szCs w:val="24"/>
        </w:rPr>
        <w:t>A colonialidade do saber: eurocentrismo e ciências sociais: perspectivas latino-americanas.</w:t>
      </w:r>
      <w:r w:rsidRPr="005B205C">
        <w:rPr>
          <w:sz w:val="24"/>
          <w:szCs w:val="24"/>
        </w:rPr>
        <w:t xml:space="preserve"> Buenos Aires: </w:t>
      </w:r>
      <w:proofErr w:type="spellStart"/>
      <w:r w:rsidRPr="005B205C">
        <w:rPr>
          <w:sz w:val="24"/>
          <w:szCs w:val="24"/>
        </w:rPr>
        <w:t>Consejo</w:t>
      </w:r>
      <w:proofErr w:type="spellEnd"/>
      <w:r w:rsidRPr="005B205C">
        <w:rPr>
          <w:sz w:val="24"/>
          <w:szCs w:val="24"/>
        </w:rPr>
        <w:t xml:space="preserve"> </w:t>
      </w:r>
      <w:proofErr w:type="spellStart"/>
      <w:r w:rsidRPr="005B205C">
        <w:rPr>
          <w:sz w:val="24"/>
          <w:szCs w:val="24"/>
        </w:rPr>
        <w:t>Latinoamericano</w:t>
      </w:r>
      <w:proofErr w:type="spellEnd"/>
      <w:r w:rsidRPr="005B205C">
        <w:rPr>
          <w:sz w:val="24"/>
          <w:szCs w:val="24"/>
        </w:rPr>
        <w:t xml:space="preserve"> de </w:t>
      </w:r>
      <w:proofErr w:type="spellStart"/>
      <w:r w:rsidRPr="005B205C">
        <w:rPr>
          <w:sz w:val="24"/>
          <w:szCs w:val="24"/>
        </w:rPr>
        <w:t>Ciencias</w:t>
      </w:r>
      <w:proofErr w:type="spellEnd"/>
      <w:r w:rsidRPr="005B205C">
        <w:rPr>
          <w:sz w:val="24"/>
          <w:szCs w:val="24"/>
        </w:rPr>
        <w:t xml:space="preserve"> Sociales (CLACSO), 2005.</w:t>
      </w:r>
    </w:p>
    <w:p w14:paraId="3F21D5C7" w14:textId="77777777" w:rsidR="005B205C" w:rsidRPr="005B205C" w:rsidRDefault="005B205C" w:rsidP="005B205C">
      <w:pPr>
        <w:jc w:val="both"/>
        <w:rPr>
          <w:sz w:val="24"/>
          <w:szCs w:val="24"/>
        </w:rPr>
      </w:pPr>
    </w:p>
    <w:p w14:paraId="1012FEAD" w14:textId="77777777" w:rsidR="005B205C" w:rsidRPr="005B205C" w:rsidRDefault="005B205C" w:rsidP="005B205C">
      <w:pPr>
        <w:jc w:val="both"/>
        <w:rPr>
          <w:sz w:val="24"/>
          <w:szCs w:val="24"/>
        </w:rPr>
      </w:pPr>
      <w:r w:rsidRPr="005B205C">
        <w:rPr>
          <w:sz w:val="24"/>
          <w:szCs w:val="24"/>
        </w:rPr>
        <w:t xml:space="preserve">MATTOS, Carmem Lúcia Guimarães de; CASTRO, Paula Almeida de (org.). </w:t>
      </w:r>
      <w:r w:rsidRPr="005B205C">
        <w:rPr>
          <w:b/>
          <w:bCs/>
          <w:sz w:val="24"/>
          <w:szCs w:val="24"/>
        </w:rPr>
        <w:t>Etnografia e educação: conceitos e usos.</w:t>
      </w:r>
      <w:r w:rsidRPr="005B205C">
        <w:rPr>
          <w:sz w:val="24"/>
          <w:szCs w:val="24"/>
        </w:rPr>
        <w:t xml:space="preserve"> Campina Grande: EDUEPB, 2011.</w:t>
      </w:r>
    </w:p>
    <w:p w14:paraId="43C0DBFC" w14:textId="77777777" w:rsidR="005B205C" w:rsidRPr="005B205C" w:rsidRDefault="005B205C" w:rsidP="005B205C">
      <w:pPr>
        <w:jc w:val="both"/>
        <w:rPr>
          <w:sz w:val="24"/>
          <w:szCs w:val="24"/>
        </w:rPr>
      </w:pPr>
    </w:p>
    <w:p w14:paraId="58C421AC" w14:textId="77777777" w:rsidR="005B205C" w:rsidRPr="005B205C" w:rsidRDefault="005B205C" w:rsidP="005B205C">
      <w:pPr>
        <w:jc w:val="both"/>
        <w:rPr>
          <w:sz w:val="24"/>
          <w:szCs w:val="24"/>
        </w:rPr>
      </w:pPr>
      <w:r w:rsidRPr="005B205C">
        <w:rPr>
          <w:sz w:val="24"/>
          <w:szCs w:val="24"/>
        </w:rPr>
        <w:t xml:space="preserve">MALDONADO-TORRES, Nelson. </w:t>
      </w:r>
      <w:r w:rsidRPr="005B205C">
        <w:rPr>
          <w:b/>
          <w:bCs/>
          <w:sz w:val="24"/>
          <w:szCs w:val="24"/>
        </w:rPr>
        <w:t xml:space="preserve">Sobre </w:t>
      </w:r>
      <w:proofErr w:type="spellStart"/>
      <w:r w:rsidRPr="005B205C">
        <w:rPr>
          <w:b/>
          <w:bCs/>
          <w:sz w:val="24"/>
          <w:szCs w:val="24"/>
        </w:rPr>
        <w:t>la</w:t>
      </w:r>
      <w:proofErr w:type="spellEnd"/>
      <w:r w:rsidRPr="005B205C">
        <w:rPr>
          <w:b/>
          <w:bCs/>
          <w:sz w:val="24"/>
          <w:szCs w:val="24"/>
        </w:rPr>
        <w:t xml:space="preserve"> </w:t>
      </w:r>
      <w:proofErr w:type="spellStart"/>
      <w:r w:rsidRPr="005B205C">
        <w:rPr>
          <w:b/>
          <w:bCs/>
          <w:sz w:val="24"/>
          <w:szCs w:val="24"/>
        </w:rPr>
        <w:t>colonialidad</w:t>
      </w:r>
      <w:proofErr w:type="spellEnd"/>
      <w:r w:rsidRPr="005B205C">
        <w:rPr>
          <w:b/>
          <w:bCs/>
          <w:sz w:val="24"/>
          <w:szCs w:val="24"/>
        </w:rPr>
        <w:t xml:space="preserve"> </w:t>
      </w:r>
      <w:proofErr w:type="spellStart"/>
      <w:r w:rsidRPr="005B205C">
        <w:rPr>
          <w:b/>
          <w:bCs/>
          <w:sz w:val="24"/>
          <w:szCs w:val="24"/>
        </w:rPr>
        <w:t>del</w:t>
      </w:r>
      <w:proofErr w:type="spellEnd"/>
      <w:r w:rsidRPr="005B205C">
        <w:rPr>
          <w:b/>
          <w:bCs/>
          <w:sz w:val="24"/>
          <w:szCs w:val="24"/>
        </w:rPr>
        <w:t xml:space="preserve"> ser: </w:t>
      </w:r>
      <w:proofErr w:type="spellStart"/>
      <w:r w:rsidRPr="005B205C">
        <w:rPr>
          <w:b/>
          <w:bCs/>
          <w:sz w:val="24"/>
          <w:szCs w:val="24"/>
        </w:rPr>
        <w:t>contribuciones</w:t>
      </w:r>
      <w:proofErr w:type="spellEnd"/>
      <w:r w:rsidRPr="005B205C">
        <w:rPr>
          <w:b/>
          <w:bCs/>
          <w:sz w:val="24"/>
          <w:szCs w:val="24"/>
        </w:rPr>
        <w:t xml:space="preserve"> al </w:t>
      </w:r>
      <w:proofErr w:type="spellStart"/>
      <w:r w:rsidRPr="005B205C">
        <w:rPr>
          <w:b/>
          <w:bCs/>
          <w:sz w:val="24"/>
          <w:szCs w:val="24"/>
        </w:rPr>
        <w:t>desarrollo</w:t>
      </w:r>
      <w:proofErr w:type="spellEnd"/>
      <w:r w:rsidRPr="005B205C">
        <w:rPr>
          <w:b/>
          <w:bCs/>
          <w:sz w:val="24"/>
          <w:szCs w:val="24"/>
        </w:rPr>
        <w:t xml:space="preserve"> de </w:t>
      </w:r>
      <w:proofErr w:type="spellStart"/>
      <w:r w:rsidRPr="005B205C">
        <w:rPr>
          <w:b/>
          <w:bCs/>
          <w:sz w:val="24"/>
          <w:szCs w:val="24"/>
        </w:rPr>
        <w:t>un</w:t>
      </w:r>
      <w:proofErr w:type="spellEnd"/>
      <w:r w:rsidRPr="005B205C">
        <w:rPr>
          <w:b/>
          <w:bCs/>
          <w:sz w:val="24"/>
          <w:szCs w:val="24"/>
        </w:rPr>
        <w:t xml:space="preserve"> concepto.</w:t>
      </w:r>
      <w:r w:rsidRPr="005B205C">
        <w:rPr>
          <w:sz w:val="24"/>
          <w:szCs w:val="24"/>
        </w:rPr>
        <w:t xml:space="preserve"> In: CASTRO-GÓMEZ, Santiago; GROSFOGUEL, Ramón (org.). El giro decolonial: reflexiones para una </w:t>
      </w:r>
      <w:proofErr w:type="spellStart"/>
      <w:r w:rsidRPr="005B205C">
        <w:rPr>
          <w:sz w:val="24"/>
          <w:szCs w:val="24"/>
        </w:rPr>
        <w:t>diversidad</w:t>
      </w:r>
      <w:proofErr w:type="spellEnd"/>
      <w:r w:rsidRPr="005B205C">
        <w:rPr>
          <w:sz w:val="24"/>
          <w:szCs w:val="24"/>
        </w:rPr>
        <w:t xml:space="preserve"> epistémica más </w:t>
      </w:r>
      <w:proofErr w:type="spellStart"/>
      <w:r w:rsidRPr="005B205C">
        <w:rPr>
          <w:sz w:val="24"/>
          <w:szCs w:val="24"/>
        </w:rPr>
        <w:t>allá</w:t>
      </w:r>
      <w:proofErr w:type="spellEnd"/>
      <w:r w:rsidRPr="005B205C">
        <w:rPr>
          <w:sz w:val="24"/>
          <w:szCs w:val="24"/>
        </w:rPr>
        <w:t xml:space="preserve"> </w:t>
      </w:r>
      <w:proofErr w:type="spellStart"/>
      <w:r w:rsidRPr="005B205C">
        <w:rPr>
          <w:sz w:val="24"/>
          <w:szCs w:val="24"/>
        </w:rPr>
        <w:t>del</w:t>
      </w:r>
      <w:proofErr w:type="spellEnd"/>
      <w:r w:rsidRPr="005B205C">
        <w:rPr>
          <w:sz w:val="24"/>
          <w:szCs w:val="24"/>
        </w:rPr>
        <w:t xml:space="preserve"> capitalismo global. Bogotá: </w:t>
      </w:r>
      <w:proofErr w:type="spellStart"/>
      <w:r w:rsidRPr="005B205C">
        <w:rPr>
          <w:sz w:val="24"/>
          <w:szCs w:val="24"/>
        </w:rPr>
        <w:t>Siglo</w:t>
      </w:r>
      <w:proofErr w:type="spellEnd"/>
      <w:r w:rsidRPr="005B205C">
        <w:rPr>
          <w:sz w:val="24"/>
          <w:szCs w:val="24"/>
        </w:rPr>
        <w:t xml:space="preserve"> </w:t>
      </w:r>
      <w:proofErr w:type="spellStart"/>
      <w:r w:rsidRPr="005B205C">
        <w:rPr>
          <w:sz w:val="24"/>
          <w:szCs w:val="24"/>
        </w:rPr>
        <w:t>del</w:t>
      </w:r>
      <w:proofErr w:type="spellEnd"/>
      <w:r w:rsidRPr="005B205C">
        <w:rPr>
          <w:sz w:val="24"/>
          <w:szCs w:val="24"/>
        </w:rPr>
        <w:t xml:space="preserve"> </w:t>
      </w:r>
      <w:proofErr w:type="spellStart"/>
      <w:r w:rsidRPr="005B205C">
        <w:rPr>
          <w:sz w:val="24"/>
          <w:szCs w:val="24"/>
        </w:rPr>
        <w:t>Hombre</w:t>
      </w:r>
      <w:proofErr w:type="spellEnd"/>
      <w:r w:rsidRPr="005B205C">
        <w:rPr>
          <w:sz w:val="24"/>
          <w:szCs w:val="24"/>
        </w:rPr>
        <w:t xml:space="preserve"> Editores; </w:t>
      </w:r>
      <w:proofErr w:type="spellStart"/>
      <w:r w:rsidRPr="005B205C">
        <w:rPr>
          <w:sz w:val="24"/>
          <w:szCs w:val="24"/>
        </w:rPr>
        <w:t>Universidad</w:t>
      </w:r>
      <w:proofErr w:type="spellEnd"/>
      <w:r w:rsidRPr="005B205C">
        <w:rPr>
          <w:sz w:val="24"/>
          <w:szCs w:val="24"/>
        </w:rPr>
        <w:t xml:space="preserve"> Central, Instituto de </w:t>
      </w:r>
      <w:proofErr w:type="spellStart"/>
      <w:r w:rsidRPr="005B205C">
        <w:rPr>
          <w:sz w:val="24"/>
          <w:szCs w:val="24"/>
        </w:rPr>
        <w:t>Estudios</w:t>
      </w:r>
      <w:proofErr w:type="spellEnd"/>
      <w:r w:rsidRPr="005B205C">
        <w:rPr>
          <w:sz w:val="24"/>
          <w:szCs w:val="24"/>
        </w:rPr>
        <w:t xml:space="preserve"> Sociales </w:t>
      </w:r>
      <w:proofErr w:type="spellStart"/>
      <w:r w:rsidRPr="005B205C">
        <w:rPr>
          <w:sz w:val="24"/>
          <w:szCs w:val="24"/>
        </w:rPr>
        <w:t>Contemporáneos</w:t>
      </w:r>
      <w:proofErr w:type="spellEnd"/>
      <w:r w:rsidRPr="005B205C">
        <w:rPr>
          <w:sz w:val="24"/>
          <w:szCs w:val="24"/>
        </w:rPr>
        <w:t xml:space="preserve"> (IESCO); </w:t>
      </w:r>
      <w:proofErr w:type="spellStart"/>
      <w:r w:rsidRPr="005B205C">
        <w:rPr>
          <w:sz w:val="24"/>
          <w:szCs w:val="24"/>
        </w:rPr>
        <w:t>Pontificia</w:t>
      </w:r>
      <w:proofErr w:type="spellEnd"/>
      <w:r w:rsidRPr="005B205C">
        <w:rPr>
          <w:sz w:val="24"/>
          <w:szCs w:val="24"/>
        </w:rPr>
        <w:t xml:space="preserve"> </w:t>
      </w:r>
      <w:proofErr w:type="spellStart"/>
      <w:r w:rsidRPr="005B205C">
        <w:rPr>
          <w:sz w:val="24"/>
          <w:szCs w:val="24"/>
        </w:rPr>
        <w:t>Universidad</w:t>
      </w:r>
      <w:proofErr w:type="spellEnd"/>
      <w:r w:rsidRPr="005B205C">
        <w:rPr>
          <w:sz w:val="24"/>
          <w:szCs w:val="24"/>
        </w:rPr>
        <w:t xml:space="preserve"> </w:t>
      </w:r>
      <w:proofErr w:type="spellStart"/>
      <w:r w:rsidRPr="005B205C">
        <w:rPr>
          <w:sz w:val="24"/>
          <w:szCs w:val="24"/>
        </w:rPr>
        <w:t>Javeriana</w:t>
      </w:r>
      <w:proofErr w:type="spellEnd"/>
      <w:r w:rsidRPr="005B205C">
        <w:rPr>
          <w:sz w:val="24"/>
          <w:szCs w:val="24"/>
        </w:rPr>
        <w:t>, Instituto Pensar, 2007. p. 127–167.</w:t>
      </w:r>
    </w:p>
    <w:p w14:paraId="774C9621" w14:textId="77777777" w:rsidR="005B205C" w:rsidRPr="005B205C" w:rsidRDefault="005B205C" w:rsidP="005B205C">
      <w:pPr>
        <w:jc w:val="both"/>
        <w:rPr>
          <w:sz w:val="24"/>
          <w:szCs w:val="24"/>
        </w:rPr>
      </w:pPr>
    </w:p>
    <w:p w14:paraId="47B4EEFC" w14:textId="77777777" w:rsidR="009F44AC" w:rsidRDefault="009F44AC" w:rsidP="005B205C">
      <w:pPr>
        <w:jc w:val="both"/>
        <w:rPr>
          <w:sz w:val="24"/>
          <w:szCs w:val="24"/>
        </w:rPr>
      </w:pPr>
    </w:p>
    <w:p w14:paraId="721BB3F0" w14:textId="2F0A918B" w:rsidR="009F44AC" w:rsidRDefault="009F44AC" w:rsidP="005B205C">
      <w:pPr>
        <w:jc w:val="both"/>
        <w:rPr>
          <w:sz w:val="24"/>
          <w:szCs w:val="24"/>
        </w:rPr>
      </w:pPr>
      <w:r w:rsidRPr="009F44AC">
        <w:rPr>
          <w:sz w:val="24"/>
          <w:szCs w:val="24"/>
        </w:rPr>
        <w:t xml:space="preserve">MIGNOLO, Walter D. </w:t>
      </w:r>
      <w:r w:rsidRPr="009F44AC">
        <w:rPr>
          <w:b/>
          <w:bCs/>
          <w:sz w:val="24"/>
          <w:szCs w:val="24"/>
        </w:rPr>
        <w:t>A colonialidade ao longo e ao largo: o hemisfério ocidental no horizonte colonial da modernidade.</w:t>
      </w:r>
      <w:r w:rsidRPr="009F44AC">
        <w:rPr>
          <w:sz w:val="24"/>
          <w:szCs w:val="24"/>
        </w:rPr>
        <w:t xml:space="preserve"> In: LANDER, Edgardo (org.). A colonialidade do </w:t>
      </w:r>
      <w:r w:rsidRPr="009F44AC">
        <w:rPr>
          <w:sz w:val="24"/>
          <w:szCs w:val="24"/>
        </w:rPr>
        <w:lastRenderedPageBreak/>
        <w:t>saber: eurocentrismo e ciências sociais: perspectivas latino-americanas. Buenos Aires: CLACSO, 2005. p. 55-85.</w:t>
      </w:r>
    </w:p>
    <w:p w14:paraId="6CCD9901" w14:textId="77777777" w:rsidR="009F44AC" w:rsidRDefault="009F44AC" w:rsidP="005B205C">
      <w:pPr>
        <w:jc w:val="both"/>
        <w:rPr>
          <w:sz w:val="24"/>
          <w:szCs w:val="24"/>
        </w:rPr>
      </w:pPr>
    </w:p>
    <w:p w14:paraId="3DB0C0E0" w14:textId="7BFE4883" w:rsidR="009F44AC" w:rsidRPr="005B205C" w:rsidRDefault="009F44AC" w:rsidP="005B205C">
      <w:pPr>
        <w:jc w:val="both"/>
        <w:rPr>
          <w:sz w:val="24"/>
          <w:szCs w:val="24"/>
        </w:rPr>
      </w:pPr>
      <w:r w:rsidRPr="009F44AC">
        <w:rPr>
          <w:sz w:val="24"/>
          <w:szCs w:val="24"/>
        </w:rPr>
        <w:t xml:space="preserve">QUIJANO, Aníbal. </w:t>
      </w:r>
      <w:r w:rsidRPr="009F44AC">
        <w:rPr>
          <w:b/>
          <w:bCs/>
          <w:sz w:val="24"/>
          <w:szCs w:val="24"/>
        </w:rPr>
        <w:t>Colonialidade do poder, eurocentrismo e América Latina.</w:t>
      </w:r>
      <w:r w:rsidRPr="009F44AC">
        <w:rPr>
          <w:sz w:val="24"/>
          <w:szCs w:val="24"/>
        </w:rPr>
        <w:t xml:space="preserve"> In: LANDER, Edgardo (org.). A colonialidade do saber: eurocentrismo e ciências sociais: perspectivas latino-americanas. Buenos Aires: CLACSO, 2005. p. 201-246.</w:t>
      </w:r>
    </w:p>
    <w:p w14:paraId="36A7A4B0" w14:textId="77777777" w:rsidR="005B205C" w:rsidRPr="005B205C" w:rsidRDefault="005B205C" w:rsidP="005B205C">
      <w:pPr>
        <w:jc w:val="both"/>
        <w:rPr>
          <w:sz w:val="24"/>
          <w:szCs w:val="24"/>
        </w:rPr>
      </w:pPr>
    </w:p>
    <w:p w14:paraId="5865D27F" w14:textId="77777777" w:rsidR="005B205C" w:rsidRPr="005B205C" w:rsidRDefault="005B205C" w:rsidP="005B205C">
      <w:pPr>
        <w:jc w:val="both"/>
        <w:rPr>
          <w:sz w:val="24"/>
          <w:szCs w:val="24"/>
        </w:rPr>
      </w:pPr>
      <w:r w:rsidRPr="005B205C">
        <w:rPr>
          <w:sz w:val="24"/>
          <w:szCs w:val="24"/>
        </w:rPr>
        <w:t xml:space="preserve">SANTOS, Boaventura de Sousa; MENESES, Maria Paula (org.). </w:t>
      </w:r>
      <w:r w:rsidRPr="005B205C">
        <w:rPr>
          <w:b/>
          <w:bCs/>
          <w:sz w:val="24"/>
          <w:szCs w:val="24"/>
        </w:rPr>
        <w:t>Epistemologias do Sul.</w:t>
      </w:r>
      <w:r w:rsidRPr="005B205C">
        <w:rPr>
          <w:sz w:val="24"/>
          <w:szCs w:val="24"/>
        </w:rPr>
        <w:t xml:space="preserve"> Coimbra: Almedina, 2009.</w:t>
      </w:r>
    </w:p>
    <w:p w14:paraId="554934D1" w14:textId="77777777" w:rsidR="005B205C" w:rsidRPr="005B205C" w:rsidRDefault="005B205C" w:rsidP="005B205C">
      <w:pPr>
        <w:jc w:val="both"/>
        <w:rPr>
          <w:sz w:val="24"/>
          <w:szCs w:val="24"/>
        </w:rPr>
      </w:pPr>
    </w:p>
    <w:p w14:paraId="57BA7543" w14:textId="7188492B" w:rsidR="005B205C" w:rsidRPr="005B205C" w:rsidRDefault="005B205C" w:rsidP="009F44AC">
      <w:pPr>
        <w:jc w:val="both"/>
        <w:rPr>
          <w:sz w:val="24"/>
          <w:szCs w:val="24"/>
        </w:rPr>
      </w:pPr>
      <w:r w:rsidRPr="005B205C">
        <w:rPr>
          <w:sz w:val="24"/>
          <w:szCs w:val="24"/>
        </w:rPr>
        <w:t xml:space="preserve">TROMBINI, Igor </w:t>
      </w:r>
      <w:proofErr w:type="spellStart"/>
      <w:r w:rsidRPr="005B205C">
        <w:rPr>
          <w:sz w:val="24"/>
          <w:szCs w:val="24"/>
        </w:rPr>
        <w:t>Federici</w:t>
      </w:r>
      <w:proofErr w:type="spellEnd"/>
      <w:r w:rsidRPr="005B205C">
        <w:rPr>
          <w:sz w:val="24"/>
          <w:szCs w:val="24"/>
        </w:rPr>
        <w:t xml:space="preserve">; SURIAN, Alessio. </w:t>
      </w:r>
      <w:r w:rsidRPr="005B205C">
        <w:rPr>
          <w:b/>
          <w:bCs/>
          <w:sz w:val="24"/>
          <w:szCs w:val="24"/>
        </w:rPr>
        <w:t xml:space="preserve">Arte-etnografia e o teatro do oprimido: diálogos educacionais em espaços não formais junto ao grupo </w:t>
      </w:r>
      <w:proofErr w:type="spellStart"/>
      <w:r w:rsidRPr="005B205C">
        <w:rPr>
          <w:b/>
          <w:bCs/>
          <w:sz w:val="24"/>
          <w:szCs w:val="24"/>
        </w:rPr>
        <w:t>MareMoTO</w:t>
      </w:r>
      <w:proofErr w:type="spellEnd"/>
      <w:r w:rsidRPr="005B205C">
        <w:rPr>
          <w:b/>
          <w:bCs/>
          <w:sz w:val="24"/>
          <w:szCs w:val="24"/>
        </w:rPr>
        <w:t>.</w:t>
      </w:r>
      <w:r w:rsidRPr="005B205C">
        <w:rPr>
          <w:sz w:val="24"/>
          <w:szCs w:val="24"/>
        </w:rPr>
        <w:t xml:space="preserve"> Cadernos de Pesquisa, São Luís, v. 31, n. 2, p. 1-30, abr./jun. 2024.</w:t>
      </w:r>
    </w:p>
    <w:p w14:paraId="27315F7C" w14:textId="77777777" w:rsidR="005B205C" w:rsidRPr="005B205C" w:rsidRDefault="005B205C" w:rsidP="005B205C">
      <w:pPr>
        <w:jc w:val="both"/>
        <w:rPr>
          <w:sz w:val="24"/>
          <w:szCs w:val="24"/>
        </w:rPr>
      </w:pPr>
    </w:p>
    <w:p w14:paraId="2C28F137" w14:textId="77777777" w:rsidR="005B205C" w:rsidRPr="005B205C" w:rsidRDefault="005B205C" w:rsidP="005B205C">
      <w:pPr>
        <w:jc w:val="both"/>
        <w:rPr>
          <w:sz w:val="24"/>
          <w:szCs w:val="24"/>
        </w:rPr>
      </w:pPr>
      <w:r w:rsidRPr="005B205C">
        <w:rPr>
          <w:sz w:val="24"/>
          <w:szCs w:val="24"/>
        </w:rPr>
        <w:t>WALSH, Catherine</w:t>
      </w:r>
      <w:r w:rsidRPr="005B205C">
        <w:rPr>
          <w:b/>
          <w:bCs/>
          <w:sz w:val="24"/>
          <w:szCs w:val="24"/>
        </w:rPr>
        <w:t xml:space="preserve">. </w:t>
      </w:r>
      <w:proofErr w:type="spellStart"/>
      <w:r w:rsidRPr="005B205C">
        <w:rPr>
          <w:b/>
          <w:bCs/>
          <w:sz w:val="24"/>
          <w:szCs w:val="24"/>
        </w:rPr>
        <w:t>Interculturalidad</w:t>
      </w:r>
      <w:proofErr w:type="spellEnd"/>
      <w:r w:rsidRPr="005B205C">
        <w:rPr>
          <w:b/>
          <w:bCs/>
          <w:sz w:val="24"/>
          <w:szCs w:val="24"/>
        </w:rPr>
        <w:t xml:space="preserve"> crítica y (de)</w:t>
      </w:r>
      <w:proofErr w:type="spellStart"/>
      <w:r w:rsidRPr="005B205C">
        <w:rPr>
          <w:b/>
          <w:bCs/>
          <w:sz w:val="24"/>
          <w:szCs w:val="24"/>
        </w:rPr>
        <w:t>colonialidad</w:t>
      </w:r>
      <w:proofErr w:type="spellEnd"/>
      <w:r w:rsidRPr="005B205C">
        <w:rPr>
          <w:b/>
          <w:bCs/>
          <w:sz w:val="24"/>
          <w:szCs w:val="24"/>
        </w:rPr>
        <w:t xml:space="preserve">: </w:t>
      </w:r>
      <w:proofErr w:type="spellStart"/>
      <w:r w:rsidRPr="005B205C">
        <w:rPr>
          <w:b/>
          <w:bCs/>
          <w:sz w:val="24"/>
          <w:szCs w:val="24"/>
        </w:rPr>
        <w:t>ensayos</w:t>
      </w:r>
      <w:proofErr w:type="spellEnd"/>
      <w:r w:rsidRPr="005B205C">
        <w:rPr>
          <w:b/>
          <w:bCs/>
          <w:sz w:val="24"/>
          <w:szCs w:val="24"/>
        </w:rPr>
        <w:t xml:space="preserve"> desde </w:t>
      </w:r>
      <w:proofErr w:type="spellStart"/>
      <w:r w:rsidRPr="005B205C">
        <w:rPr>
          <w:b/>
          <w:bCs/>
          <w:sz w:val="24"/>
          <w:szCs w:val="24"/>
        </w:rPr>
        <w:t>Abya</w:t>
      </w:r>
      <w:proofErr w:type="spellEnd"/>
      <w:r w:rsidRPr="005B205C">
        <w:rPr>
          <w:b/>
          <w:bCs/>
          <w:sz w:val="24"/>
          <w:szCs w:val="24"/>
        </w:rPr>
        <w:t xml:space="preserve"> Yala.</w:t>
      </w:r>
      <w:r w:rsidRPr="005B205C">
        <w:rPr>
          <w:sz w:val="24"/>
          <w:szCs w:val="24"/>
        </w:rPr>
        <w:t xml:space="preserve"> Quito: </w:t>
      </w:r>
      <w:proofErr w:type="spellStart"/>
      <w:r w:rsidRPr="005B205C">
        <w:rPr>
          <w:sz w:val="24"/>
          <w:szCs w:val="24"/>
        </w:rPr>
        <w:t>Ediciones</w:t>
      </w:r>
      <w:proofErr w:type="spellEnd"/>
      <w:r w:rsidRPr="005B205C">
        <w:rPr>
          <w:sz w:val="24"/>
          <w:szCs w:val="24"/>
        </w:rPr>
        <w:t xml:space="preserve"> </w:t>
      </w:r>
      <w:proofErr w:type="spellStart"/>
      <w:r w:rsidRPr="005B205C">
        <w:rPr>
          <w:sz w:val="24"/>
          <w:szCs w:val="24"/>
        </w:rPr>
        <w:t>Abya</w:t>
      </w:r>
      <w:proofErr w:type="spellEnd"/>
      <w:r w:rsidRPr="005B205C">
        <w:rPr>
          <w:sz w:val="24"/>
          <w:szCs w:val="24"/>
        </w:rPr>
        <w:t>-Yala, 2012.</w:t>
      </w:r>
    </w:p>
    <w:p w14:paraId="39BA844D" w14:textId="77777777" w:rsidR="005B205C" w:rsidRPr="005B205C" w:rsidRDefault="005B205C" w:rsidP="005B205C">
      <w:pPr>
        <w:jc w:val="both"/>
        <w:rPr>
          <w:sz w:val="24"/>
          <w:szCs w:val="24"/>
        </w:rPr>
      </w:pPr>
    </w:p>
    <w:p w14:paraId="3F5CC374" w14:textId="77777777" w:rsidR="00DD2D0B" w:rsidRPr="005B205C" w:rsidRDefault="00DD2D0B" w:rsidP="005B205C">
      <w:pPr>
        <w:jc w:val="both"/>
      </w:pPr>
    </w:p>
    <w:sectPr w:rsidR="00DD2D0B" w:rsidRPr="005B205C" w:rsidSect="005B205C">
      <w:headerReference w:type="default" r:id="rId8"/>
      <w:footerReference w:type="default" r:id="rId9"/>
      <w:headerReference w:type="first" r:id="rId10"/>
      <w:footerReference w:type="first" r:id="rId11"/>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C348" w14:textId="77777777" w:rsidR="00B23F32" w:rsidRDefault="00B23F32">
      <w:pPr>
        <w:spacing w:line="240" w:lineRule="auto"/>
      </w:pPr>
      <w:r>
        <w:separator/>
      </w:r>
    </w:p>
  </w:endnote>
  <w:endnote w:type="continuationSeparator" w:id="0">
    <w:p w14:paraId="48695B49" w14:textId="77777777" w:rsidR="00B23F32" w:rsidRDefault="00B23F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B7E7FA-E295-47DE-B5FF-11ACAD115967}"/>
  </w:font>
  <w:font w:name="Cambria">
    <w:panose1 w:val="02040503050406030204"/>
    <w:charset w:val="00"/>
    <w:family w:val="roman"/>
    <w:pitch w:val="variable"/>
    <w:sig w:usb0="E00006FF" w:usb1="420024FF" w:usb2="02000000" w:usb3="00000000" w:csb0="0000019F" w:csb1="00000000"/>
    <w:embedRegular r:id="rId2" w:fontKey="{29316AB9-AEB4-43E8-AE80-5FC5C32E2D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C363" w14:textId="77777777" w:rsidR="00DD2D0B" w:rsidRDefault="00000000">
    <w:pPr>
      <w:jc w:val="center"/>
    </w:pPr>
    <w:r>
      <w:fldChar w:fldCharType="begin"/>
    </w:r>
    <w:r>
      <w:instrText>PAGE</w:instrText>
    </w:r>
    <w:r>
      <w:fldChar w:fldCharType="separate"/>
    </w:r>
    <w:r w:rsidR="005B205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1876" w14:textId="77777777" w:rsidR="00DD2D0B" w:rsidRDefault="00DD2D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4016C" w14:textId="77777777" w:rsidR="00B23F32" w:rsidRDefault="00B23F32">
      <w:pPr>
        <w:spacing w:line="240" w:lineRule="auto"/>
      </w:pPr>
      <w:r>
        <w:separator/>
      </w:r>
    </w:p>
  </w:footnote>
  <w:footnote w:type="continuationSeparator" w:id="0">
    <w:p w14:paraId="1F8554F9" w14:textId="77777777" w:rsidR="00B23F32" w:rsidRDefault="00B23F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E1E4" w14:textId="77777777" w:rsidR="00DD2D0B" w:rsidRDefault="00000000">
    <w:pPr>
      <w:jc w:val="right"/>
    </w:pPr>
    <w:r>
      <w:rPr>
        <w:noProof/>
      </w:rPr>
      <w:drawing>
        <wp:anchor distT="114300" distB="114300" distL="114300" distR="114300" simplePos="0" relativeHeight="251658240" behindDoc="1" locked="0" layoutInCell="1" hidden="0" allowOverlap="1" wp14:anchorId="02D2B759" wp14:editId="68D08D33">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3C5BC64" wp14:editId="73D91128">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467ED35A" w14:textId="77777777" w:rsidR="00DD2D0B" w:rsidRDefault="00DD2D0B">
    <w:pPr>
      <w:jc w:val="right"/>
    </w:pPr>
  </w:p>
  <w:p w14:paraId="0A7EF047" w14:textId="77777777" w:rsidR="00DD2D0B" w:rsidRDefault="00DD2D0B">
    <w:pPr>
      <w:jc w:val="right"/>
    </w:pPr>
  </w:p>
  <w:p w14:paraId="42D47955" w14:textId="77777777" w:rsidR="00DD2D0B" w:rsidRDefault="00000000">
    <w:r>
      <w:rPr>
        <w:noProof/>
      </w:rPr>
      <w:drawing>
        <wp:anchor distT="114300" distB="114300" distL="114300" distR="114300" simplePos="0" relativeHeight="251660288" behindDoc="1" locked="0" layoutInCell="1" hidden="0" allowOverlap="1" wp14:anchorId="69741AA6" wp14:editId="262F3A88">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E644" w14:textId="77777777" w:rsidR="00DD2D0B" w:rsidRDefault="00DD2D0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D0B"/>
    <w:rsid w:val="0000773F"/>
    <w:rsid w:val="00121A82"/>
    <w:rsid w:val="00201145"/>
    <w:rsid w:val="002D2322"/>
    <w:rsid w:val="00566A0A"/>
    <w:rsid w:val="005B205C"/>
    <w:rsid w:val="007D0627"/>
    <w:rsid w:val="00900B41"/>
    <w:rsid w:val="009111FA"/>
    <w:rsid w:val="009E1330"/>
    <w:rsid w:val="009F44AC"/>
    <w:rsid w:val="00AB6CA0"/>
    <w:rsid w:val="00B23F32"/>
    <w:rsid w:val="00D75D0C"/>
    <w:rsid w:val="00DD2D0B"/>
    <w:rsid w:val="00E533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F1F0"/>
  <w15:docId w15:val="{7E015792-9D0E-494D-B02F-2AE0B775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E533E5"/>
    <w:rPr>
      <w:color w:val="0000FF" w:themeColor="hyperlink"/>
      <w:u w:val="single"/>
    </w:rPr>
  </w:style>
  <w:style w:type="character" w:styleId="MenoPendente">
    <w:name w:val="Unresolved Mention"/>
    <w:basedOn w:val="Fontepargpadro"/>
    <w:uiPriority w:val="99"/>
    <w:semiHidden/>
    <w:unhideWhenUsed/>
    <w:rsid w:val="00E533E5"/>
    <w:rPr>
      <w:color w:val="605E5C"/>
      <w:shd w:val="clear" w:color="auto" w:fill="E1DFDD"/>
    </w:rPr>
  </w:style>
  <w:style w:type="character" w:styleId="HiperlinkVisitado">
    <w:name w:val="FollowedHyperlink"/>
    <w:basedOn w:val="Fontepargpadro"/>
    <w:uiPriority w:val="99"/>
    <w:semiHidden/>
    <w:unhideWhenUsed/>
    <w:rsid w:val="00E533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ducacao.df.gov.br/documents/d/seedf/Curriculo_em_movimento_do_Distrito_Federal___Ensino_fundamental__2018_%3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senacionalcomum.mec.gov.br"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1068</Words>
  <Characters>6661</Characters>
  <Application>Microsoft Office Word</Application>
  <DocSecurity>0</DocSecurity>
  <Lines>130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Octávio Vilaronga</cp:lastModifiedBy>
  <cp:revision>4</cp:revision>
  <dcterms:created xsi:type="dcterms:W3CDTF">2026-08-15T21:54:00Z</dcterms:created>
  <dcterms:modified xsi:type="dcterms:W3CDTF">2026-08-16T00:14:00Z</dcterms:modified>
</cp:coreProperties>
</file>