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E7096" w14:textId="77777777" w:rsidR="00F80E12" w:rsidRDefault="00F80E12" w:rsidP="00F80E12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Pr="00D94BEA">
        <w:rPr>
          <w:b/>
          <w:bCs/>
          <w:sz w:val="24"/>
          <w:szCs w:val="24"/>
        </w:rPr>
        <w:t>D</w:t>
      </w:r>
      <w:r>
        <w:rPr>
          <w:b/>
          <w:bCs/>
          <w:sz w:val="24"/>
          <w:szCs w:val="24"/>
        </w:rPr>
        <w:t>ECOLONIZAR AS INFANCIAS: AS VOZES DAS CRIANÇAS COMO PERSPECTIVAS OUTRAS</w:t>
      </w:r>
      <w:r w:rsidRPr="00D94BEA">
        <w:rPr>
          <w:b/>
          <w:bCs/>
          <w:sz w:val="24"/>
          <w:szCs w:val="24"/>
        </w:rPr>
        <w:t xml:space="preserve"> </w:t>
      </w:r>
    </w:p>
    <w:p w14:paraId="203CDC4A" w14:textId="77777777" w:rsidR="00D9744C" w:rsidRDefault="00D9744C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59DBD501" w14:textId="77777777" w:rsidR="00D9744C" w:rsidRDefault="00D9744C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61876433" w14:textId="4AD82E19" w:rsidR="00D9744C" w:rsidRDefault="00DE6C4D" w:rsidP="00F80E12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F80E12" w:rsidRPr="00C94FE8">
        <w:rPr>
          <w:b/>
          <w:bCs/>
          <w:sz w:val="24"/>
          <w:szCs w:val="24"/>
        </w:rPr>
        <w:t xml:space="preserve">OS </w:t>
      </w:r>
      <w:r w:rsidR="00F80E12">
        <w:rPr>
          <w:b/>
          <w:bCs/>
          <w:sz w:val="24"/>
          <w:szCs w:val="24"/>
        </w:rPr>
        <w:t>C</w:t>
      </w:r>
      <w:r w:rsidR="00F80E12" w:rsidRPr="00C94FE8">
        <w:rPr>
          <w:b/>
          <w:bCs/>
          <w:sz w:val="24"/>
          <w:szCs w:val="24"/>
        </w:rPr>
        <w:t xml:space="preserve">ABELOS DE LINDU E AS </w:t>
      </w:r>
      <w:r w:rsidR="00F80E12">
        <w:rPr>
          <w:b/>
          <w:bCs/>
          <w:sz w:val="24"/>
          <w:szCs w:val="24"/>
        </w:rPr>
        <w:t>E</w:t>
      </w:r>
      <w:r w:rsidR="00F80E12" w:rsidRPr="00C94FE8">
        <w:rPr>
          <w:b/>
          <w:bCs/>
          <w:sz w:val="24"/>
          <w:szCs w:val="24"/>
        </w:rPr>
        <w:t xml:space="preserve">STÉTICAS DO </w:t>
      </w:r>
      <w:r w:rsidR="00F80E12">
        <w:rPr>
          <w:b/>
          <w:bCs/>
          <w:sz w:val="24"/>
          <w:szCs w:val="24"/>
        </w:rPr>
        <w:t>E</w:t>
      </w:r>
      <w:r w:rsidR="00F80E12" w:rsidRPr="00C94FE8">
        <w:rPr>
          <w:b/>
          <w:bCs/>
          <w:sz w:val="24"/>
          <w:szCs w:val="24"/>
        </w:rPr>
        <w:t xml:space="preserve">SPERANÇAR: </w:t>
      </w:r>
      <w:r w:rsidR="00F80E12">
        <w:rPr>
          <w:b/>
          <w:bCs/>
          <w:sz w:val="24"/>
          <w:szCs w:val="24"/>
        </w:rPr>
        <w:t>L</w:t>
      </w:r>
      <w:r w:rsidR="00F80E12" w:rsidRPr="00C94FE8">
        <w:rPr>
          <w:b/>
          <w:bCs/>
          <w:sz w:val="24"/>
          <w:szCs w:val="24"/>
        </w:rPr>
        <w:t xml:space="preserve">UDICIDADE, </w:t>
      </w:r>
      <w:r w:rsidR="00F80E12">
        <w:rPr>
          <w:b/>
          <w:bCs/>
          <w:sz w:val="24"/>
          <w:szCs w:val="24"/>
        </w:rPr>
        <w:t>D</w:t>
      </w:r>
      <w:r w:rsidR="00F80E12" w:rsidRPr="00C94FE8">
        <w:rPr>
          <w:b/>
          <w:bCs/>
          <w:sz w:val="24"/>
          <w:szCs w:val="24"/>
        </w:rPr>
        <w:t xml:space="preserve">ECOLONIALIDADE E </w:t>
      </w:r>
      <w:r w:rsidR="00F80E12">
        <w:rPr>
          <w:b/>
          <w:bCs/>
          <w:sz w:val="24"/>
          <w:szCs w:val="24"/>
        </w:rPr>
        <w:t>P</w:t>
      </w:r>
      <w:r w:rsidR="00F80E12" w:rsidRPr="00C94FE8">
        <w:rPr>
          <w:b/>
          <w:bCs/>
          <w:sz w:val="24"/>
          <w:szCs w:val="24"/>
        </w:rPr>
        <w:t xml:space="preserve">RÁTICAS </w:t>
      </w:r>
      <w:r w:rsidR="00F80E12">
        <w:rPr>
          <w:b/>
          <w:bCs/>
          <w:sz w:val="24"/>
          <w:szCs w:val="24"/>
        </w:rPr>
        <w:t>A</w:t>
      </w:r>
      <w:r w:rsidR="00F80E12" w:rsidRPr="00C94FE8">
        <w:rPr>
          <w:b/>
          <w:bCs/>
          <w:sz w:val="24"/>
          <w:szCs w:val="24"/>
        </w:rPr>
        <w:t xml:space="preserve">NTIRRACISTAS NO </w:t>
      </w:r>
      <w:r w:rsidR="00F80E12">
        <w:rPr>
          <w:b/>
          <w:bCs/>
          <w:sz w:val="24"/>
          <w:szCs w:val="24"/>
        </w:rPr>
        <w:t>C</w:t>
      </w:r>
      <w:r w:rsidR="00F80E12" w:rsidRPr="00C94FE8">
        <w:rPr>
          <w:b/>
          <w:bCs/>
          <w:sz w:val="24"/>
          <w:szCs w:val="24"/>
        </w:rPr>
        <w:t xml:space="preserve">OTIDIANO </w:t>
      </w:r>
      <w:r w:rsidR="00F80E12">
        <w:rPr>
          <w:b/>
          <w:bCs/>
          <w:sz w:val="24"/>
          <w:szCs w:val="24"/>
        </w:rPr>
        <w:t>E</w:t>
      </w:r>
      <w:r w:rsidR="00F80E12" w:rsidRPr="00C94FE8">
        <w:rPr>
          <w:b/>
          <w:bCs/>
          <w:sz w:val="24"/>
          <w:szCs w:val="24"/>
        </w:rPr>
        <w:t>SCOLAR</w:t>
      </w:r>
      <w:r>
        <w:rPr>
          <w:b/>
          <w:bCs/>
          <w:sz w:val="24"/>
          <w:szCs w:val="24"/>
        </w:rPr>
        <w:t xml:space="preserve"> </w:t>
      </w:r>
    </w:p>
    <w:p w14:paraId="20AFCE55" w14:textId="77777777" w:rsidR="00D9744C" w:rsidRDefault="00D9744C">
      <w:pPr>
        <w:keepLines/>
        <w:widowControl w:val="0"/>
        <w:spacing w:line="240" w:lineRule="auto"/>
        <w:rPr>
          <w:sz w:val="24"/>
          <w:szCs w:val="24"/>
        </w:rPr>
      </w:pPr>
    </w:p>
    <w:p w14:paraId="138B49BB" w14:textId="77777777" w:rsidR="00D9744C" w:rsidRDefault="00D9744C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71839E15" w14:textId="77777777" w:rsidR="00D9744C" w:rsidRDefault="00D9744C">
      <w:pPr>
        <w:keepLines/>
        <w:widowControl w:val="0"/>
        <w:spacing w:line="240" w:lineRule="auto"/>
        <w:rPr>
          <w:sz w:val="24"/>
          <w:szCs w:val="24"/>
        </w:rPr>
      </w:pPr>
    </w:p>
    <w:p w14:paraId="0CC9122C" w14:textId="77777777" w:rsidR="00A039DC" w:rsidRDefault="00A039DC">
      <w:pPr>
        <w:keepLines/>
        <w:widowControl w:val="0"/>
        <w:spacing w:line="240" w:lineRule="auto"/>
        <w:rPr>
          <w:sz w:val="24"/>
          <w:szCs w:val="24"/>
        </w:rPr>
      </w:pPr>
    </w:p>
    <w:p w14:paraId="61546D69" w14:textId="77777777" w:rsidR="00D9744C" w:rsidRDefault="00D9744C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1A3DC7F1" w14:textId="77777777" w:rsidR="00F80E12" w:rsidRDefault="00DE6C4D" w:rsidP="00F80E12">
      <w:pPr>
        <w:keepLines/>
        <w:widowControl w:val="0"/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RESUMO</w:t>
      </w:r>
    </w:p>
    <w:p w14:paraId="42D470FB" w14:textId="61A2B77F" w:rsidR="00D9744C" w:rsidRPr="00863580" w:rsidRDefault="00F80E12" w:rsidP="00863580">
      <w:pPr>
        <w:pStyle w:val="SemEspaamento"/>
        <w:spacing w:line="276" w:lineRule="auto"/>
        <w:jc w:val="both"/>
        <w:rPr>
          <w:sz w:val="24"/>
          <w:szCs w:val="24"/>
        </w:rPr>
      </w:pPr>
      <w:r w:rsidRPr="00863580">
        <w:rPr>
          <w:sz w:val="24"/>
          <w:szCs w:val="24"/>
        </w:rPr>
        <w:t xml:space="preserve">A promulgação da Lei nº 10.639/03 marcou um giro histórico na educação brasileira ao instituir a obrigatoriedade do ensino de história e cultura afro-brasileira e africana. Contudo, transpor a legislação para o "chão da escola" exige das redes de ensino a superação de currículos historicamente eurocêntricos e coloniais. No contexto do estado do Rio de Janeiro, os municípios de São Gonçalo e Niterói apresentam cenários plurais e desafiadores, cujos cotidianos escolares pulsam com saberes e práticas pedagógicas que demandam visibilidade. Este artigo emerge da necessidade de mapear, refletir e potencializar essas ações, focando na transição entre a Educação Infantil e os anos iniciais do Ensino Fundamental (1º ao 5º ano), períodos cruciais para a construção da alteridade, do autorreconhecimento e da subjetividade das crianças. A mediação cultural dessas teorias no cotidiano se materializa através da literatura </w:t>
      </w:r>
      <w:proofErr w:type="spellStart"/>
      <w:r w:rsidRPr="00863580">
        <w:rPr>
          <w:sz w:val="24"/>
          <w:szCs w:val="24"/>
        </w:rPr>
        <w:t>afrorreferenciada</w:t>
      </w:r>
      <w:proofErr w:type="spellEnd"/>
      <w:r w:rsidRPr="00863580">
        <w:rPr>
          <w:sz w:val="24"/>
          <w:szCs w:val="24"/>
        </w:rPr>
        <w:t xml:space="preserve">. Tomando como objeto de análise a recepção e o trabalho pedagógico com o livro </w:t>
      </w:r>
      <w:r w:rsidRPr="00863580">
        <w:rPr>
          <w:i/>
          <w:iCs/>
          <w:sz w:val="24"/>
          <w:szCs w:val="24"/>
        </w:rPr>
        <w:t xml:space="preserve">Os Cabelos de </w:t>
      </w:r>
      <w:proofErr w:type="spellStart"/>
      <w:r w:rsidRPr="00863580">
        <w:rPr>
          <w:i/>
          <w:iCs/>
          <w:sz w:val="24"/>
          <w:szCs w:val="24"/>
        </w:rPr>
        <w:t>Lindu</w:t>
      </w:r>
      <w:proofErr w:type="spellEnd"/>
      <w:r w:rsidRPr="00863580">
        <w:rPr>
          <w:sz w:val="24"/>
          <w:szCs w:val="24"/>
        </w:rPr>
        <w:t xml:space="preserve">, de Geni Lima, este estudo evidencia o protagonismo de uma menina negra como disparador de reflexões profundas sobre identidade. As práticas pedagógicas observadas alinham-se aos valores civilizatórios afro-brasileiros teorizados por </w:t>
      </w:r>
      <w:proofErr w:type="spellStart"/>
      <w:r w:rsidRPr="00863580">
        <w:rPr>
          <w:sz w:val="24"/>
          <w:szCs w:val="24"/>
        </w:rPr>
        <w:t>Azoilda</w:t>
      </w:r>
      <w:proofErr w:type="spellEnd"/>
      <w:r w:rsidRPr="00863580">
        <w:rPr>
          <w:sz w:val="24"/>
          <w:szCs w:val="24"/>
        </w:rPr>
        <w:t xml:space="preserve"> </w:t>
      </w:r>
      <w:proofErr w:type="spellStart"/>
      <w:r w:rsidRPr="00863580">
        <w:rPr>
          <w:sz w:val="24"/>
          <w:szCs w:val="24"/>
        </w:rPr>
        <w:t>Loretto</w:t>
      </w:r>
      <w:proofErr w:type="spellEnd"/>
      <w:r w:rsidRPr="00863580">
        <w:rPr>
          <w:sz w:val="24"/>
          <w:szCs w:val="24"/>
        </w:rPr>
        <w:t xml:space="preserve"> Trindade (2010). Sob essa ótica, a ludicidade, a oralidade e a ancestralidade não são meras ferramentas didáticas, mas sim eixos políticos e civilizatórios. Elas se manifestam por meio de brincadeiras corporais, da musicalidade e da contação de histórias, costurando o respeito mútuo, o afeto e a coletividade como antídotos à violência racial. Do ponto de vista metodológico, o trabalho se filia às pesquisas </w:t>
      </w:r>
      <w:r w:rsidRPr="00863580">
        <w:rPr>
          <w:i/>
          <w:iCs/>
          <w:sz w:val="24"/>
          <w:szCs w:val="24"/>
        </w:rPr>
        <w:t>nos/dos/com os</w:t>
      </w:r>
      <w:r w:rsidRPr="00863580">
        <w:rPr>
          <w:sz w:val="24"/>
          <w:szCs w:val="24"/>
        </w:rPr>
        <w:t xml:space="preserve"> cotidianos, desenvolvidas por Nilda Alves e Regina Leite Garcia. Essa abordagem permite mergulhar nas astúcias e nos "praticantes" do cotidiano escolar, validando os saberes construídos na prática docente diária. O artigo está estruturado em três seções principais: inicialmente, discute-se o referencial teórico decolonial e a potência da literatura infantil negra; em seguida, apresentam-se os caminhos metodológicos adotados nas escolas de São Gonçalo e Niterói; por fim, analisam-se as ações pedagógicas lúdicas desenvolvidas, demonstrando como a valorização da estética de </w:t>
      </w:r>
      <w:proofErr w:type="spellStart"/>
      <w:r w:rsidRPr="00863580">
        <w:rPr>
          <w:sz w:val="24"/>
          <w:szCs w:val="24"/>
        </w:rPr>
        <w:t>Lindu</w:t>
      </w:r>
      <w:proofErr w:type="spellEnd"/>
      <w:r w:rsidRPr="00863580">
        <w:rPr>
          <w:sz w:val="24"/>
          <w:szCs w:val="24"/>
        </w:rPr>
        <w:t xml:space="preserve"> fortalece o pertencimento e a cidadania das infâncias negras. Os objetivos específicos buscam discutir a relevância da aplicabilidade da Lei nº 10.639/03 na rotina escolar, bem como elencar e visibilizar práticas pedagógicas antirracistas </w:t>
      </w:r>
      <w:r w:rsidRPr="00863580">
        <w:rPr>
          <w:sz w:val="24"/>
          <w:szCs w:val="24"/>
        </w:rPr>
        <w:lastRenderedPageBreak/>
        <w:t xml:space="preserve">tecidas no chão da escola a partir da referida obra literária. O aporte teórico-metodológico ancora-se no pensamento decolonial e antirracista de intelectuais negros como Nilma Lino Gomes, bell </w:t>
      </w:r>
      <w:proofErr w:type="spellStart"/>
      <w:r w:rsidRPr="00863580">
        <w:rPr>
          <w:sz w:val="24"/>
          <w:szCs w:val="24"/>
        </w:rPr>
        <w:t>hooks</w:t>
      </w:r>
      <w:proofErr w:type="spellEnd"/>
      <w:r w:rsidRPr="00863580">
        <w:rPr>
          <w:sz w:val="24"/>
          <w:szCs w:val="24"/>
        </w:rPr>
        <w:t xml:space="preserve"> e Lélia Gonzalez, em diálogo com as contribuições das pesquisas do cotidiano (Nilda Alves e Regina Leite Garcia). Essa tessitura teórica permite compreender as astúcias, os saberes e os fazeres docentes que desafiam o eurocentrismo curricular e promovem a valorização da estética e da ancestralidade afro-brasileira desde a infância. Assim, por meio de brincadeiras, da musicalidade, da contação de histórias e da expressão corporal, essas dimensões atuam no chão da escola para transmitir princípios de coletividade, respeito mútuo e afeto, fortalecendo a cidadania, a subjetividade positiva e o pertencimento das crianças negras. O lúdico articula-se diretamente com o conceito de "esperançar" proposto por Paulo Freire (1992), configurando-se como um jogo de reinvenção de realidades e mundos possíveis. Impulsionada pela fabulação, essa prática fomenta atitudes de perseverança, paciência e engenhosidade. Trata-se de uma esperança ativa, que mobiliza os sujeitos na construção de sonhos, conquistas, aprendizagens coletivas e valores éticos baseados na cidadania e na cooperação. Por meio da experiência lúdica, ocorre um deslocamento para uma dimensão alternativa, onde as ações criadoras e imaginativas das infâncias se expressam e se realizam. No escopo desta pesquisa, a obra </w:t>
      </w:r>
      <w:r w:rsidRPr="00863580">
        <w:rPr>
          <w:i/>
          <w:iCs/>
          <w:sz w:val="24"/>
          <w:szCs w:val="24"/>
        </w:rPr>
        <w:t xml:space="preserve">Os Cabelos de </w:t>
      </w:r>
      <w:proofErr w:type="spellStart"/>
      <w:r w:rsidRPr="00863580">
        <w:rPr>
          <w:i/>
          <w:iCs/>
          <w:sz w:val="24"/>
          <w:szCs w:val="24"/>
        </w:rPr>
        <w:t>Lindu</w:t>
      </w:r>
      <w:proofErr w:type="spellEnd"/>
      <w:r w:rsidRPr="00863580">
        <w:rPr>
          <w:sz w:val="24"/>
          <w:szCs w:val="24"/>
        </w:rPr>
        <w:t xml:space="preserve"> serve como disparadora para resgatar, por meio do brincar, as tradições ancestrais manifestadas na música, na dança, na oralidade e nas artes. Esse movimento evidencia a </w:t>
      </w:r>
      <w:proofErr w:type="spellStart"/>
      <w:r w:rsidRPr="00863580">
        <w:rPr>
          <w:sz w:val="24"/>
          <w:szCs w:val="24"/>
        </w:rPr>
        <w:t>macrodimensão</w:t>
      </w:r>
      <w:proofErr w:type="spellEnd"/>
      <w:r w:rsidRPr="00863580">
        <w:rPr>
          <w:sz w:val="24"/>
          <w:szCs w:val="24"/>
        </w:rPr>
        <w:t xml:space="preserve"> da ludicidade, demonstrando que o ato brincante ultrapassa os limites da infância e constitui a vida adulta. Assim, a ludicidade reafirma-se como um direito humano fundamental e inalienável, respaldado juridicamente pela </w:t>
      </w:r>
      <w:hyperlink r:id="rId6" w:tgtFrame="_blank" w:history="1">
        <w:r w:rsidRPr="00863580">
          <w:rPr>
            <w:rStyle w:val="Hyperlink"/>
            <w:color w:val="auto"/>
            <w:sz w:val="24"/>
            <w:szCs w:val="24"/>
          </w:rPr>
          <w:t>Constituição Federal de 1988</w:t>
        </w:r>
      </w:hyperlink>
      <w:r w:rsidRPr="00863580">
        <w:rPr>
          <w:sz w:val="24"/>
          <w:szCs w:val="24"/>
        </w:rPr>
        <w:t xml:space="preserve"> e pelo </w:t>
      </w:r>
      <w:hyperlink r:id="rId7" w:tgtFrame="_blank" w:history="1">
        <w:r w:rsidRPr="00863580">
          <w:rPr>
            <w:rStyle w:val="Hyperlink"/>
            <w:color w:val="auto"/>
            <w:sz w:val="24"/>
            <w:szCs w:val="24"/>
          </w:rPr>
          <w:t>Estatuto da Criança e do Adolescente (ECA)</w:t>
        </w:r>
      </w:hyperlink>
      <w:r w:rsidRPr="00863580">
        <w:rPr>
          <w:sz w:val="24"/>
          <w:szCs w:val="24"/>
        </w:rPr>
        <w:t xml:space="preserve">, que asseguram o brincar, o esporte e o lazer como prerrogativas do pleno desenvolvimento social — direitos estes que, historicamente, são subtraídos das infâncias negras e periféricas pelo racismo estrutural. Sob a égide da decolonialidade, garantir o lúdico a esses sujeitos não é apenas um ato pedagógico, mas uma urgência política de reparação e emancipação. No contexto pedagógico, o movimento decolonial tecido na narrativa de </w:t>
      </w:r>
      <w:r w:rsidRPr="00863580">
        <w:rPr>
          <w:i/>
          <w:iCs/>
          <w:sz w:val="24"/>
          <w:szCs w:val="24"/>
        </w:rPr>
        <w:t xml:space="preserve">Os Cabelos de </w:t>
      </w:r>
      <w:proofErr w:type="spellStart"/>
      <w:r w:rsidRPr="00863580">
        <w:rPr>
          <w:i/>
          <w:iCs/>
          <w:sz w:val="24"/>
          <w:szCs w:val="24"/>
        </w:rPr>
        <w:t>Lindu</w:t>
      </w:r>
      <w:proofErr w:type="spellEnd"/>
      <w:r w:rsidRPr="00863580">
        <w:rPr>
          <w:sz w:val="24"/>
          <w:szCs w:val="24"/>
        </w:rPr>
        <w:t xml:space="preserve"> fratura o modelo eurocêntrico de silenciamento e invisibilização histórica. A obra evoca o direito ao </w:t>
      </w:r>
      <w:proofErr w:type="spellStart"/>
      <w:r w:rsidRPr="00863580">
        <w:rPr>
          <w:sz w:val="24"/>
          <w:szCs w:val="24"/>
        </w:rPr>
        <w:t>autopronunciamento</w:t>
      </w:r>
      <w:proofErr w:type="spellEnd"/>
      <w:r w:rsidRPr="00863580">
        <w:rPr>
          <w:sz w:val="24"/>
          <w:szCs w:val="24"/>
        </w:rPr>
        <w:t xml:space="preserve"> — a prerrogativa do povo negro de narrar a sua própria história sob sua própria ótica. Ao retratar uma menina negra que sente prazer em brincar, correr, pular, ler e ouvir histórias, a narrativa visibiliza uma infância que traz na corporeidade e na valorização da oralidade uma potente tecnologia de afirmação identitária. Cabe destacar que a opção por efetivar tal obrigatoriedade por meio do lúdico não tem o intuito de atenuar ou mascarar as tensões e mazelas profundas provocadas pelo racismo estrutural. Longe de ser um recurso de apaziguamento, o brincar é mobilizado aqui como uma linguagem política legítima e adequada ao universo infantil. Partindo da premissa freiriana e decolonial de que a brincadeira é uma atividade séria e fundante, compreende-se que é no ato de brincar, fabular e criar que as crianças elaboram saberes, constroem sua alteridade e </w:t>
      </w:r>
      <w:r w:rsidRPr="00863580">
        <w:rPr>
          <w:sz w:val="24"/>
          <w:szCs w:val="24"/>
        </w:rPr>
        <w:lastRenderedPageBreak/>
        <w:t xml:space="preserve">internalizam os valores da diversidade com afeto e criticidade. Conclui-se, portanto, que os saberes e fazeres docentes gestados nas práticas cotidianas analisadas não são apenas alternativas didáticas isoladas, mas sim uma pedagogia antirracista viva e pulsante. Espera-se que este estudo estimule novas investigações e fortaleça a formação de professores, inspirando redes de ensino a assumirem o compromisso ético de educar para a liberdade, onde a beleza, a ancestralidade e a alegria de crianças como </w:t>
      </w:r>
      <w:proofErr w:type="spellStart"/>
      <w:r w:rsidRPr="00863580">
        <w:rPr>
          <w:sz w:val="24"/>
          <w:szCs w:val="24"/>
        </w:rPr>
        <w:t>Lindu</w:t>
      </w:r>
      <w:proofErr w:type="spellEnd"/>
      <w:r w:rsidRPr="00863580">
        <w:rPr>
          <w:sz w:val="24"/>
          <w:szCs w:val="24"/>
        </w:rPr>
        <w:t xml:space="preserve"> não sejam a exceção, mas a fundação de uma escola verdadeiramente democrática e plural.</w:t>
      </w:r>
      <w:r w:rsidR="00DE6C4D" w:rsidRPr="00863580">
        <w:rPr>
          <w:sz w:val="24"/>
          <w:szCs w:val="24"/>
        </w:rPr>
        <w:t xml:space="preserve"> </w:t>
      </w:r>
    </w:p>
    <w:p w14:paraId="6AFF126A" w14:textId="77777777" w:rsidR="00D9744C" w:rsidRDefault="00D9744C">
      <w:pPr>
        <w:keepLines/>
        <w:widowControl w:val="0"/>
        <w:spacing w:line="360" w:lineRule="auto"/>
        <w:jc w:val="both"/>
        <w:rPr>
          <w:sz w:val="24"/>
          <w:szCs w:val="24"/>
        </w:rPr>
      </w:pPr>
    </w:p>
    <w:p w14:paraId="5672666A" w14:textId="77777777" w:rsidR="00D9744C" w:rsidRDefault="00DE6C4D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PALAVRAS-CHAVE</w:t>
      </w:r>
    </w:p>
    <w:p w14:paraId="7DCFDEB9" w14:textId="16A9C36F" w:rsidR="00D9744C" w:rsidRDefault="00F80E12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4540A1">
        <w:t xml:space="preserve">Educação Antirracista; Literatura </w:t>
      </w:r>
      <w:proofErr w:type="spellStart"/>
      <w:r w:rsidRPr="004540A1">
        <w:t>Afrorreferenciada</w:t>
      </w:r>
      <w:proofErr w:type="spellEnd"/>
      <w:r w:rsidRPr="004540A1">
        <w:t>; Valores Civilizatórios Afro-Brasileiros; Pesquisas nos/dos/com os Cotidianos; Abordagem Decolonial.</w:t>
      </w:r>
    </w:p>
    <w:p w14:paraId="2AA066D4" w14:textId="77777777" w:rsidR="00D9744C" w:rsidRDefault="00D9744C">
      <w:pPr>
        <w:keepLines/>
        <w:widowControl w:val="0"/>
        <w:spacing w:line="240" w:lineRule="auto"/>
        <w:rPr>
          <w:sz w:val="24"/>
          <w:szCs w:val="24"/>
        </w:rPr>
      </w:pPr>
    </w:p>
    <w:p w14:paraId="6695A403" w14:textId="77777777" w:rsidR="00D9744C" w:rsidRDefault="00D9744C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15C1EE7E" w14:textId="77777777" w:rsidR="00D9744C" w:rsidRDefault="00DE6C4D">
      <w:pPr>
        <w:keepLines/>
        <w:widowControl w:val="0"/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REFERÊNCIAS</w:t>
      </w:r>
      <w:r>
        <w:rPr>
          <w:sz w:val="24"/>
          <w:szCs w:val="24"/>
        </w:rPr>
        <w:t xml:space="preserve"> </w:t>
      </w:r>
    </w:p>
    <w:p w14:paraId="19189917" w14:textId="77777777" w:rsidR="00F80E12" w:rsidRDefault="00F80E12" w:rsidP="00F80E12">
      <w:pPr>
        <w:spacing w:after="200" w:line="240" w:lineRule="auto"/>
        <w:jc w:val="both"/>
        <w:rPr>
          <w:sz w:val="24"/>
          <w:szCs w:val="24"/>
        </w:rPr>
      </w:pPr>
      <w:r w:rsidRPr="004540A1">
        <w:rPr>
          <w:sz w:val="24"/>
          <w:szCs w:val="24"/>
        </w:rPr>
        <w:t>ALVES, Nilda. Decisões metodológicas nas pesquisas nos/dos/com os cotidianos. In: OLIVEIRA, Inês Barbosa de; ALVES, Nilda (org.). Pesquisa nos/dos/com os cotidianos das escolas. Petrópolis: DP&amp;A, 2002.</w:t>
      </w:r>
    </w:p>
    <w:p w14:paraId="5FB5C0E6" w14:textId="77777777" w:rsidR="00F80E12" w:rsidRDefault="00F80E12" w:rsidP="00F80E12">
      <w:pPr>
        <w:spacing w:after="200" w:line="240" w:lineRule="auto"/>
        <w:jc w:val="both"/>
        <w:rPr>
          <w:sz w:val="24"/>
          <w:szCs w:val="24"/>
        </w:rPr>
      </w:pPr>
      <w:r w:rsidRPr="004540A1">
        <w:rPr>
          <w:sz w:val="24"/>
          <w:szCs w:val="24"/>
        </w:rPr>
        <w:t xml:space="preserve"> FREIRE, Paulo. Pedagogia da esperança: um reencontro com a pedagogia do oprimido. Rio de Janeiro: Paz e Terra, 1992. </w:t>
      </w:r>
    </w:p>
    <w:p w14:paraId="5AB62493" w14:textId="77777777" w:rsidR="00F80E12" w:rsidRDefault="00F80E12" w:rsidP="00F80E12">
      <w:pPr>
        <w:spacing w:after="200" w:line="240" w:lineRule="auto"/>
        <w:jc w:val="both"/>
        <w:rPr>
          <w:sz w:val="24"/>
          <w:szCs w:val="24"/>
        </w:rPr>
      </w:pPr>
      <w:r w:rsidRPr="004540A1">
        <w:rPr>
          <w:sz w:val="24"/>
          <w:szCs w:val="24"/>
        </w:rPr>
        <w:t xml:space="preserve">GARCIA, Regina Leite (org.). Método, pesquisa com o cotidiano e a busca de superação da exclusão social. Rio de Janeiro: DP&amp;A, 2003. </w:t>
      </w:r>
    </w:p>
    <w:p w14:paraId="18A60042" w14:textId="77777777" w:rsidR="00F80E12" w:rsidRDefault="00F80E12" w:rsidP="00F80E12">
      <w:pPr>
        <w:spacing w:after="200" w:line="240" w:lineRule="auto"/>
        <w:jc w:val="both"/>
        <w:rPr>
          <w:sz w:val="24"/>
          <w:szCs w:val="24"/>
        </w:rPr>
      </w:pPr>
      <w:r w:rsidRPr="004540A1">
        <w:rPr>
          <w:sz w:val="24"/>
          <w:szCs w:val="24"/>
        </w:rPr>
        <w:t xml:space="preserve">GOMES, Nilma Lino. O movimento negro educador: saberes construídos nas lutas por emancipação. Petrópolis: Vozes, 2017. </w:t>
      </w:r>
    </w:p>
    <w:p w14:paraId="3364AA2F" w14:textId="77777777" w:rsidR="00F80E12" w:rsidRDefault="00F80E12" w:rsidP="00F80E12">
      <w:pPr>
        <w:spacing w:after="200" w:line="240" w:lineRule="auto"/>
        <w:jc w:val="both"/>
        <w:rPr>
          <w:sz w:val="24"/>
          <w:szCs w:val="24"/>
        </w:rPr>
      </w:pPr>
      <w:r w:rsidRPr="004540A1">
        <w:rPr>
          <w:sz w:val="24"/>
          <w:szCs w:val="24"/>
        </w:rPr>
        <w:t xml:space="preserve">GONZALEZ, Lélia. Primavera para as rosas negras: Lélia Gonzalez em primeira pessoa. Diáspora Africana: Editora Filhos de África, 2018. </w:t>
      </w:r>
    </w:p>
    <w:p w14:paraId="37E1AE7B" w14:textId="77777777" w:rsidR="00F80E12" w:rsidRDefault="00F80E12" w:rsidP="00F80E12">
      <w:pPr>
        <w:spacing w:after="200" w:line="240" w:lineRule="auto"/>
        <w:jc w:val="both"/>
        <w:rPr>
          <w:sz w:val="24"/>
          <w:szCs w:val="24"/>
        </w:rPr>
      </w:pPr>
      <w:r w:rsidRPr="004540A1">
        <w:rPr>
          <w:sz w:val="24"/>
          <w:szCs w:val="24"/>
        </w:rPr>
        <w:t xml:space="preserve">HOOKS, bell. Ensinando a transgredir: a educação como prática da liberdade. Tradução de Marcelo Brandão Cipolla. 2. ed. São Paulo: Martins Fontes, 2017. </w:t>
      </w:r>
    </w:p>
    <w:p w14:paraId="67EF839E" w14:textId="77777777" w:rsidR="00F80E12" w:rsidRDefault="00F80E12" w:rsidP="00F80E12">
      <w:pPr>
        <w:spacing w:after="200" w:line="240" w:lineRule="auto"/>
        <w:jc w:val="both"/>
        <w:rPr>
          <w:sz w:val="24"/>
          <w:szCs w:val="24"/>
        </w:rPr>
      </w:pPr>
      <w:r w:rsidRPr="004540A1">
        <w:rPr>
          <w:sz w:val="24"/>
          <w:szCs w:val="24"/>
        </w:rPr>
        <w:t xml:space="preserve">LIMA, Geni. Os cabelos de </w:t>
      </w:r>
      <w:proofErr w:type="spellStart"/>
      <w:r w:rsidRPr="004540A1">
        <w:rPr>
          <w:sz w:val="24"/>
          <w:szCs w:val="24"/>
        </w:rPr>
        <w:t>Lindu</w:t>
      </w:r>
      <w:proofErr w:type="spellEnd"/>
      <w:r w:rsidRPr="004540A1">
        <w:rPr>
          <w:sz w:val="24"/>
          <w:szCs w:val="24"/>
        </w:rPr>
        <w:t xml:space="preserve">. 1. ed. Rio de Janeiro: </w:t>
      </w:r>
      <w:proofErr w:type="spellStart"/>
      <w:r w:rsidRPr="004540A1">
        <w:rPr>
          <w:sz w:val="24"/>
          <w:szCs w:val="24"/>
        </w:rPr>
        <w:t>Wak</w:t>
      </w:r>
      <w:proofErr w:type="spellEnd"/>
      <w:r w:rsidRPr="004540A1">
        <w:rPr>
          <w:sz w:val="24"/>
          <w:szCs w:val="24"/>
        </w:rPr>
        <w:t xml:space="preserve"> Editora, 2024. </w:t>
      </w:r>
    </w:p>
    <w:p w14:paraId="7D78BBF3" w14:textId="3D3BB930" w:rsidR="00D9744C" w:rsidRDefault="00F80E12" w:rsidP="00F80E12">
      <w:r w:rsidRPr="004540A1">
        <w:rPr>
          <w:sz w:val="24"/>
          <w:szCs w:val="24"/>
        </w:rPr>
        <w:t xml:space="preserve">TRINDADE, </w:t>
      </w:r>
      <w:proofErr w:type="spellStart"/>
      <w:r w:rsidRPr="004540A1">
        <w:rPr>
          <w:sz w:val="24"/>
          <w:szCs w:val="24"/>
        </w:rPr>
        <w:t>Azoilda</w:t>
      </w:r>
      <w:proofErr w:type="spellEnd"/>
      <w:r w:rsidRPr="004540A1">
        <w:rPr>
          <w:sz w:val="24"/>
          <w:szCs w:val="24"/>
        </w:rPr>
        <w:t xml:space="preserve"> </w:t>
      </w:r>
      <w:proofErr w:type="spellStart"/>
      <w:r w:rsidRPr="004540A1">
        <w:rPr>
          <w:sz w:val="24"/>
          <w:szCs w:val="24"/>
        </w:rPr>
        <w:t>Loretto</w:t>
      </w:r>
      <w:proofErr w:type="spellEnd"/>
      <w:r w:rsidRPr="004540A1">
        <w:rPr>
          <w:sz w:val="24"/>
          <w:szCs w:val="24"/>
        </w:rPr>
        <w:t xml:space="preserve">. Valores civilizatórios afro-brasileiros na educação infantil. In: BRANDÃO, Ana Beatriz (org.). Saberes e fazeres do cotidiano em prol da educação antirracista. Rio de Janeiro: </w:t>
      </w:r>
      <w:proofErr w:type="spellStart"/>
      <w:r w:rsidRPr="004540A1">
        <w:rPr>
          <w:sz w:val="24"/>
          <w:szCs w:val="24"/>
        </w:rPr>
        <w:t>Novamerica</w:t>
      </w:r>
      <w:proofErr w:type="spellEnd"/>
      <w:r w:rsidRPr="004540A1">
        <w:rPr>
          <w:sz w:val="24"/>
          <w:szCs w:val="24"/>
        </w:rPr>
        <w:t>, 2010</w:t>
      </w:r>
      <w:r>
        <w:rPr>
          <w:sz w:val="24"/>
          <w:szCs w:val="24"/>
        </w:rPr>
        <w:t>.</w:t>
      </w:r>
    </w:p>
    <w:p w14:paraId="1BCF44F4" w14:textId="77777777" w:rsidR="00D9744C" w:rsidRDefault="00D9744C">
      <w:pPr>
        <w:spacing w:after="200" w:line="240" w:lineRule="auto"/>
        <w:jc w:val="both"/>
        <w:rPr>
          <w:b/>
          <w:bCs/>
          <w:sz w:val="24"/>
          <w:szCs w:val="24"/>
        </w:rPr>
      </w:pPr>
    </w:p>
    <w:sectPr w:rsidR="00D9744C">
      <w:headerReference w:type="default" r:id="rId8"/>
      <w:footerReference w:type="default" r:id="rId9"/>
      <w:headerReference w:type="first" r:id="rId10"/>
      <w:footerReference w:type="firs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BD928A" w14:textId="77777777" w:rsidR="003D3E71" w:rsidRDefault="003D3E71">
      <w:pPr>
        <w:spacing w:line="240" w:lineRule="auto"/>
      </w:pPr>
      <w:r>
        <w:separator/>
      </w:r>
    </w:p>
  </w:endnote>
  <w:endnote w:type="continuationSeparator" w:id="0">
    <w:p w14:paraId="2B0F888D" w14:textId="77777777" w:rsidR="003D3E71" w:rsidRDefault="003D3E7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37CCBD1-B366-4E86-A370-C14BA2076C7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95738B8-869C-423A-AAD2-F10AED000C5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1A113" w14:textId="7CD3670F" w:rsidR="00D9744C" w:rsidRDefault="00DE6C4D">
    <w:pPr>
      <w:jc w:val="center"/>
    </w:pPr>
    <w:r>
      <w:fldChar w:fldCharType="begin"/>
    </w:r>
    <w:r>
      <w:instrText>PAGE</w:instrText>
    </w:r>
    <w:r>
      <w:fldChar w:fldCharType="separate"/>
    </w:r>
    <w:r w:rsidR="00F80E12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960BF" w14:textId="77777777" w:rsidR="00D9744C" w:rsidRDefault="00D9744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1ED595" w14:textId="77777777" w:rsidR="003D3E71" w:rsidRDefault="003D3E71">
      <w:pPr>
        <w:spacing w:line="240" w:lineRule="auto"/>
      </w:pPr>
      <w:r>
        <w:separator/>
      </w:r>
    </w:p>
  </w:footnote>
  <w:footnote w:type="continuationSeparator" w:id="0">
    <w:p w14:paraId="123DB2E0" w14:textId="77777777" w:rsidR="003D3E71" w:rsidRDefault="003D3E7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D4814" w14:textId="77777777" w:rsidR="00D9744C" w:rsidRDefault="00DE6C4D">
    <w:pPr>
      <w:jc w:val="right"/>
    </w:pP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503F4922" wp14:editId="26E58B0C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4F142233" wp14:editId="5270EC5F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5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E130333" w14:textId="77777777" w:rsidR="00D9744C" w:rsidRDefault="00D9744C">
    <w:pPr>
      <w:jc w:val="right"/>
    </w:pPr>
  </w:p>
  <w:p w14:paraId="6A6EB6DB" w14:textId="77777777" w:rsidR="00D9744C" w:rsidRDefault="00D9744C">
    <w:pPr>
      <w:jc w:val="right"/>
    </w:pPr>
  </w:p>
  <w:p w14:paraId="3469EF03" w14:textId="77777777" w:rsidR="00D9744C" w:rsidRDefault="00DE6C4D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5128DD4A" wp14:editId="27BE457D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6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01834" w14:textId="77777777" w:rsidR="00D9744C" w:rsidRDefault="00D9744C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744C"/>
    <w:rsid w:val="00275D5A"/>
    <w:rsid w:val="003D3E71"/>
    <w:rsid w:val="006215FD"/>
    <w:rsid w:val="00700DF4"/>
    <w:rsid w:val="007B5E4F"/>
    <w:rsid w:val="00863580"/>
    <w:rsid w:val="008A3C97"/>
    <w:rsid w:val="00974686"/>
    <w:rsid w:val="00A039DC"/>
    <w:rsid w:val="00AE07BB"/>
    <w:rsid w:val="00B71ADD"/>
    <w:rsid w:val="00D9744C"/>
    <w:rsid w:val="00DE6C4D"/>
    <w:rsid w:val="00F80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1EF2AB"/>
  <w15:docId w15:val="{38EEE720-2DDE-A049-9970-D79AA96D7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Fontepargpadro"/>
    <w:uiPriority w:val="99"/>
    <w:unhideWhenUsed/>
    <w:rsid w:val="00F80E12"/>
    <w:rPr>
      <w:color w:val="0000FF" w:themeColor="hyperlink"/>
      <w:u w:val="single"/>
    </w:rPr>
  </w:style>
  <w:style w:type="paragraph" w:styleId="SemEspaamento">
    <w:name w:val="No Spacing"/>
    <w:uiPriority w:val="1"/>
    <w:qFormat/>
    <w:rsid w:val="00F80E12"/>
    <w:pPr>
      <w:spacing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planalto.gov.br/ccivil_03/leis/l8069.htm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planalto.gov.br/ccivil_03/constituicao/constituicao.htm" TargetMode="External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1297</Words>
  <Characters>7004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Danusa Tederiche</dc:creator>
  <cp:lastModifiedBy>Jota Jota Souza</cp:lastModifiedBy>
  <cp:revision>3</cp:revision>
  <dcterms:created xsi:type="dcterms:W3CDTF">2026-08-16T00:20:00Z</dcterms:created>
  <dcterms:modified xsi:type="dcterms:W3CDTF">2026-08-16T00:21:00Z</dcterms:modified>
</cp:coreProperties>
</file>