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CONVERSATÓRIO 05 - DECOLONIZAR E INTERCULTURALIZAR AS UNIVERSIDADES: AÇÕES AFIRMATIVAS, JUSTIÇA EPISTÊMICA E OUTROS MODOS DE CONHECER</w:t>
      </w:r>
      <w:r w:rsidDel="00000000" w:rsidR="00000000" w:rsidRPr="00000000">
        <w:rPr>
          <w:rtl w:val="0"/>
        </w:rPr>
      </w:r>
    </w:p>
    <w:p w:rsidR="00000000" w:rsidDel="00000000" w:rsidP="00000000" w:rsidRDefault="00000000" w:rsidRPr="00000000" w14:paraId="00000002">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KA’A WI ZEMUKATU HAW UR TENTEHAR WANUPE - A CURA VEM DA FLORESTA PARA OS TENTEHAR</w:t>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Os saberes que carrego para os territórios em que habito: </w:t>
      </w:r>
    </w:p>
    <w:p w:rsidR="00000000" w:rsidDel="00000000" w:rsidP="00000000" w:rsidRDefault="00000000" w:rsidRPr="00000000" w14:paraId="00000006">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Conhecimentos tradicionais do povo Tenetehar sobre plantas medicinais, território e bem viver</w:t>
      </w:r>
    </w:p>
    <w:p w:rsidR="00000000" w:rsidDel="00000000" w:rsidP="00000000" w:rsidRDefault="00000000" w:rsidRPr="00000000" w14:paraId="00000007">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Bruna Milena Ferreira de Lira 1, Universidade Federal de Goiás, </w:t>
      </w:r>
      <w:hyperlink r:id="rId6">
        <w:r w:rsidDel="00000000" w:rsidR="00000000" w:rsidRPr="00000000">
          <w:rPr>
            <w:color w:val="245db3"/>
            <w:sz w:val="24"/>
            <w:szCs w:val="24"/>
            <w:u w:val="single"/>
            <w:rtl w:val="0"/>
          </w:rPr>
          <w:t xml:space="preserve">brunalira@discente.ufg.br</w:t>
        </w:r>
      </w:hyperlink>
      <w:r w:rsidDel="00000000" w:rsidR="00000000" w:rsidRPr="00000000">
        <w:rPr>
          <w:sz w:val="24"/>
          <w:szCs w:val="24"/>
          <w:rtl w:val="0"/>
        </w:rPr>
        <w:t xml:space="preserve"> </w:t>
      </w:r>
    </w:p>
    <w:p w:rsidR="00000000" w:rsidDel="00000000" w:rsidP="00000000" w:rsidRDefault="00000000" w:rsidRPr="00000000" w14:paraId="0000000A">
      <w:pPr>
        <w:keepLines w:val="1"/>
        <w:widowControl w:val="0"/>
        <w:spacing w:line="240" w:lineRule="auto"/>
        <w:jc w:val="right"/>
        <w:rPr/>
      </w:pPr>
      <w:r w:rsidDel="00000000" w:rsidR="00000000" w:rsidRPr="00000000">
        <w:rPr>
          <w:sz w:val="24"/>
          <w:szCs w:val="24"/>
          <w:rtl w:val="0"/>
        </w:rPr>
        <w:t xml:space="preserve">Iaponiara Rodrigues Gomes Guajajara 2, Universidade Federal de Goiás,</w:t>
      </w:r>
      <w:r w:rsidDel="00000000" w:rsidR="00000000" w:rsidRPr="00000000">
        <w:rPr>
          <w:rtl w:val="0"/>
        </w:rPr>
      </w:r>
    </w:p>
    <w:p w:rsidR="00000000" w:rsidDel="00000000" w:rsidP="00000000" w:rsidRDefault="00000000" w:rsidRPr="00000000" w14:paraId="0000000B">
      <w:pPr>
        <w:keepLines w:val="1"/>
        <w:widowControl w:val="0"/>
        <w:spacing w:after="0" w:before="0" w:line="240" w:lineRule="auto"/>
        <w:ind w:left="0" w:right="0" w:firstLine="0"/>
        <w:jc w:val="right"/>
        <w:rPr>
          <w:color w:val="245db3"/>
          <w:sz w:val="24"/>
          <w:szCs w:val="24"/>
        </w:rPr>
      </w:pPr>
      <w:r w:rsidDel="00000000" w:rsidR="00000000" w:rsidRPr="00000000">
        <w:rPr>
          <w:color w:val="245db3"/>
          <w:sz w:val="24"/>
          <w:szCs w:val="24"/>
          <w:rtl w:val="0"/>
        </w:rPr>
        <w:t xml:space="preserve">iaponiaraguajajara@discente.ufg.br</w:t>
      </w:r>
    </w:p>
    <w:p w:rsidR="00000000" w:rsidDel="00000000" w:rsidP="00000000" w:rsidRDefault="00000000" w:rsidRPr="00000000" w14:paraId="0000000C">
      <w:pPr>
        <w:keepLines w:val="1"/>
        <w:widowControl w:val="0"/>
        <w:spacing w:after="0" w:before="0" w:line="240" w:lineRule="auto"/>
        <w:ind w:left="0" w:right="0" w:firstLine="0"/>
        <w:jc w:val="right"/>
        <w:rPr/>
      </w:pPr>
      <w:r w:rsidDel="00000000" w:rsidR="00000000" w:rsidRPr="00000000">
        <w:rPr>
          <w:sz w:val="24"/>
          <w:szCs w:val="24"/>
          <w:rtl w:val="0"/>
        </w:rPr>
        <w:t xml:space="preserve">Elina Gomes Ribeiro Guajajara 3, Universidade Federal de Goiás, </w:t>
      </w:r>
      <w:r w:rsidDel="00000000" w:rsidR="00000000" w:rsidRPr="00000000">
        <w:rPr>
          <w:rtl w:val="0"/>
        </w:rPr>
      </w:r>
    </w:p>
    <w:p w:rsidR="00000000" w:rsidDel="00000000" w:rsidP="00000000" w:rsidRDefault="00000000" w:rsidRPr="00000000" w14:paraId="0000000D">
      <w:pPr>
        <w:keepLines w:val="1"/>
        <w:widowControl w:val="0"/>
        <w:spacing w:after="0" w:before="0" w:line="240" w:lineRule="auto"/>
        <w:ind w:left="0" w:right="0" w:firstLine="0"/>
        <w:jc w:val="right"/>
        <w:rPr>
          <w:color w:val="245db3"/>
          <w:sz w:val="24"/>
          <w:szCs w:val="24"/>
        </w:rPr>
      </w:pPr>
      <w:r w:rsidDel="00000000" w:rsidR="00000000" w:rsidRPr="00000000">
        <w:rPr>
          <w:color w:val="245db3"/>
          <w:sz w:val="24"/>
          <w:szCs w:val="24"/>
          <w:rtl w:val="0"/>
        </w:rPr>
        <w:t xml:space="preserve">elinagomes@ufg.br</w:t>
      </w:r>
    </w:p>
    <w:p w:rsidR="00000000" w:rsidDel="00000000" w:rsidP="00000000" w:rsidRDefault="00000000" w:rsidRPr="00000000" w14:paraId="0000000E">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0">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2">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13">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sz w:val="24"/>
          <w:szCs w:val="24"/>
          <w:rtl w:val="0"/>
        </w:rPr>
        <w:t xml:space="preserve">Este trabalho visa apresentar a experiência vivenciada no âmbito do projeto “Tecendo Saberes na Construção da Saúde no SUS: Protagonismo Estudantil e Permanência de Estudantes Indígenas e Quilombolas na UFG”, vinculado ao Programa Nacional AfirmaSUS. O projeto está inserido no território da Universidade Federal de Goiás e tem como objetivo tensionar os modelos hegemônicos consolidados desde a colonização e que perpetuam o epistemicídio afrodescendente e indígena na educação brasileira. As discussões aqui elencadas, buscam refletir sobre como as ações desenvolvidas contribuem para um ambiente acadêmico voltado à justiça epistêmica.</w:t>
      </w:r>
    </w:p>
    <w:p w:rsidR="00000000" w:rsidDel="00000000" w:rsidP="00000000" w:rsidRDefault="00000000" w:rsidRPr="00000000" w14:paraId="00000015">
      <w:pPr>
        <w:keepLines w:val="1"/>
        <w:widowControl w:val="0"/>
        <w:spacing w:line="360" w:lineRule="auto"/>
        <w:jc w:val="both"/>
        <w:rPr>
          <w:sz w:val="24"/>
          <w:szCs w:val="24"/>
        </w:rPr>
      </w:pPr>
      <w:r w:rsidDel="00000000" w:rsidR="00000000" w:rsidRPr="00000000">
        <w:rPr>
          <w:sz w:val="24"/>
          <w:szCs w:val="24"/>
          <w:rtl w:val="0"/>
        </w:rPr>
        <w:t xml:space="preserve">Tendo em vista que cada povo e etnia carrega suas singularidades, é imprescindível a compreensão da definição do que o território representa para, em seguida, analisar sua inserção nessa realidade. De acordo com Krenak (2021), conhecer um território ultrapassa a apreensão de um espaço geográfico ou apenas a identificação dos corpos que nele habitam. Significa, sobretudo, legitimar a ancestralidade vivenciada cotidianamente em suas organizações sociais, sejam elas relacionais, produtivas ou espirituais. Esse pensamento dialoga com Bispo (2015).  Segundo ele, um território está marcado pela interação entre a comunidade e a natureza que a cerca, sendo partes de um mesmo organismo. Assim, não há como mercantilizar aquilo que a terra entrega para a manutenção da própria vida. Ou seja, para ambos os autores, o território é parte da existência humana e sem ele, essa existência deixa de ser, pois é o que integra a identidade e tradição de um povo.  </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sz w:val="24"/>
          <w:szCs w:val="24"/>
          <w:rtl w:val="0"/>
        </w:rPr>
        <w:t xml:space="preserve">Portanto, faz-se necessário que a universidade articule esses saberes, discutindo-os, acolhendo-os e visibilizando-os. Entretanto, escutar as comunidades que compõem um território requer a valorização de suas tecnologias ancestrais como frutos de conhecimento científico. Ouvir um indígena ou quilombola dentro da universidade não se reduz à coleta de um relato, ao contrário, dimensiona seu próprio território naquele espaço. Esse processo se alicerça no que Freire (2016) chama de dialogicidade, que é a construção do conhecimento como ato compartilhado entre sujeitos que se reconhecem mutuamente como portadores de saber. Santos e Meneses (2010) denominam esse movimento como ecologia de saberes, que trata-se da coexistência de múltiplas epistemologias, cada uma válida em seu contexto. Nenhum desses saberes surge do acaso, são sistemas metodologicamente coerentes, testados e repassados ao longo de gerações o que os qualifica, em sentido estrito, como produção científica, ainda que fora dos parâmetros da ciência produzida em espaços acadêmicos.</w:t>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sz w:val="24"/>
          <w:szCs w:val="24"/>
          <w:rtl w:val="0"/>
        </w:rPr>
        <w:t xml:space="preserve">Diante dessa pluralidade, cabe indagar como o currículo dos cursos de saúde tem formado profissionais aptos a atuar com responsabilidade nesses contextos sociais. Candau (2012) argumenta que a educação intercultural crítica é condição para trazer justiça social e não deve ser restrita a estudantes indígenas ou quilombolas presentes na turma, mas estendida a todos, já que qualquer profissional pode, ao longo da carreira, atuar nesses territórios. Essa transformação curricular esbarra, contudo, em uma tensão estrutural identificada anteriormente por Chauí (2001), em que a universidade contemporânea tende a orientar o conhecimento acadêmico para o mercado, a competitividade e o individualismo, valores dissonantes da lógica coletiva que organiza a educação em comunidades indígenas e quilombolas, que é pensada no todo e estruturada de forma circular e oral, em contraste com a lógica linear e eurocentrada da universidade. </w:t>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sz w:val="24"/>
          <w:szCs w:val="24"/>
          <w:rtl w:val="0"/>
        </w:rPr>
        <w:t xml:space="preserve">É nesse sentido que a experiência vivenciada no AfirmaSus materializa essa confluência interseccional. Essa dimensão prática pôde ser observada em uma gama de entrevistas realizadas no âmbito do projeto. Foram produzidos treze vídeos, em que os/as estudantes puderam apresentar a sua identidade e origem territorial. Em uma das narrativas multimodais, o vídeo apresenta os conhecimentos tradicionais do povo Tenetehar sobre o uso de plantas medicinais, evidenciando a profunda relação entre território, natureza, espiritualidade e cuidado com a saúde. A experiência parte da memória e das vivências compartilhadas por integrantes da comunidade, reafirmando que esses conhecimentos são transmitidos de geração em geração e constituem uma ciência ancestral fundamentada na convivência com a floresta. Segundo a tradição Tenetehar, esses ensinamentos têm origem em Mair, figura ancestral que ensinou ao povo como viver na floresta, reconhecer as plantas de proteção, de cura e compreender os saberes da natureza.</w:t>
      </w:r>
    </w:p>
    <w:p w:rsidR="00000000" w:rsidDel="00000000" w:rsidP="00000000" w:rsidRDefault="00000000" w:rsidRPr="00000000" w14:paraId="00000019">
      <w:pPr>
        <w:keepLines w:val="1"/>
        <w:widowControl w:val="0"/>
        <w:spacing w:line="360" w:lineRule="auto"/>
        <w:jc w:val="both"/>
        <w:rPr>
          <w:sz w:val="24"/>
          <w:szCs w:val="24"/>
        </w:rPr>
      </w:pPr>
      <w:r w:rsidDel="00000000" w:rsidR="00000000" w:rsidRPr="00000000">
        <w:rPr>
          <w:sz w:val="24"/>
          <w:szCs w:val="24"/>
          <w:rtl w:val="0"/>
        </w:rPr>
        <w:t xml:space="preserve">O vídeo mostra que a medicina tradicional sempre esteve presente no território e continua sendo praticada por homens e mulheres da comunidade. Durante a pandemia da Covid-19, esses conhecimentos foram fundamentais para o enfrentamento da doença. Plantas como Wyraytyk (cerol), Zawaryhyk (amescla) e Wyraro (quina) foram utilizadas na produção de fumaça para defumar as casas, fortalecer a imunidade e prevenir enfermidades. O relato também apresenta o uso do cupim, consumido conforme os conhecimentos tradicionais, e da quina, reconhecida por suas propriedades no tratamento de inflamações. Para casos de tuberculose, são mencionados o Wyraity e o cumaru, preparados com limão ou alho. O cedro é utilizado em banhos e vapores para aliviar febre e dores de cabeça, enquanto o Uraka'a é empregado de forma semelhante para provocar a transpiração e favorecer a recuperação. A semente Wirameah possui função medicinal e de proteção, sendo preparada com alho queimado e administrada com leite materno para o tratamento de gripes, tosse, febre, pneumonia, asma e outros problemas respiratórios em crianças.</w:t>
      </w:r>
    </w:p>
    <w:p w:rsidR="00000000" w:rsidDel="00000000" w:rsidP="00000000" w:rsidRDefault="00000000" w:rsidRPr="00000000" w14:paraId="0000001A">
      <w:pPr>
        <w:keepLines w:val="1"/>
        <w:widowControl w:val="0"/>
        <w:spacing w:line="360" w:lineRule="auto"/>
        <w:jc w:val="both"/>
        <w:rPr>
          <w:sz w:val="24"/>
          <w:szCs w:val="24"/>
        </w:rPr>
      </w:pPr>
      <w:r w:rsidDel="00000000" w:rsidR="00000000" w:rsidRPr="00000000">
        <w:rPr>
          <w:sz w:val="24"/>
          <w:szCs w:val="24"/>
          <w:rtl w:val="0"/>
        </w:rPr>
        <w:t xml:space="preserve">A narrativa evidencia que, para o povo Tenetehar, a natureza oferece tudo o que é necessário para o cuidado integral da vida. Os banhos tradicionais não tratam apenas o corpo físico, mas também promovem o equilíbrio da alma, do espírito e da mente, expressando uma concepção de saúde inseparável do território e da espiritualidade. O vídeo foi elaborado a partir de relatos orais de integrantes da comunidade, preservando os nomes tradicionais das plantas e valorizando a oralidade como forma legítima de produção e transmissão de conhecimentos. Ao registrar essas experiências, o trabalho contribui para o fortalecimento da memória coletiva, da identidade indígena e do reconhecimento dos saberes tradicionais como formas legítimas de produção de conhecimento, em diálogo com os princípios da interculturalidade, da decolonialidade e do bem viver.</w:t>
      </w:r>
    </w:p>
    <w:p w:rsidR="00000000" w:rsidDel="00000000" w:rsidP="00000000" w:rsidRDefault="00000000" w:rsidRPr="00000000" w14:paraId="0000001B">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C">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 </w:t>
      </w:r>
    </w:p>
    <w:p w:rsidR="00000000" w:rsidDel="00000000" w:rsidP="00000000" w:rsidRDefault="00000000" w:rsidRPr="00000000" w14:paraId="0000001D">
      <w:pPr>
        <w:keepLines w:val="1"/>
        <w:widowControl w:val="0"/>
        <w:spacing w:line="360" w:lineRule="auto"/>
        <w:jc w:val="both"/>
        <w:rPr>
          <w:sz w:val="24"/>
          <w:szCs w:val="24"/>
        </w:rPr>
      </w:pPr>
      <w:r w:rsidDel="00000000" w:rsidR="00000000" w:rsidRPr="00000000">
        <w:rPr>
          <w:sz w:val="24"/>
          <w:szCs w:val="24"/>
          <w:rtl w:val="0"/>
        </w:rPr>
        <w:t xml:space="preserve">Educação Intercultural; Território; Tenetehar; Ecologia de saberes; AfirmaSUS.</w:t>
      </w:r>
    </w:p>
    <w:p w:rsidR="00000000" w:rsidDel="00000000" w:rsidP="00000000" w:rsidRDefault="00000000" w:rsidRPr="00000000" w14:paraId="0000001E">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F">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0">
      <w:pPr>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021">
      <w:pPr>
        <w:keepLines w:val="1"/>
        <w:widowControl w:val="0"/>
        <w:spacing w:after="240" w:before="180" w:line="240" w:lineRule="auto"/>
        <w:jc w:val="both"/>
        <w:rPr>
          <w:sz w:val="24"/>
          <w:szCs w:val="24"/>
        </w:rPr>
      </w:pPr>
      <w:r w:rsidDel="00000000" w:rsidR="00000000" w:rsidRPr="00000000">
        <w:rPr>
          <w:sz w:val="24"/>
          <w:szCs w:val="24"/>
          <w:rtl w:val="0"/>
        </w:rPr>
        <w:t xml:space="preserve">CANDAU, Vera Maria (org.). </w:t>
      </w:r>
      <w:r w:rsidDel="00000000" w:rsidR="00000000" w:rsidRPr="00000000">
        <w:rPr>
          <w:b w:val="1"/>
          <w:bCs w:val="1"/>
          <w:sz w:val="24"/>
          <w:szCs w:val="24"/>
          <w:rtl w:val="0"/>
        </w:rPr>
        <w:t xml:space="preserve">Didática crítica intercultural</w:t>
      </w:r>
      <w:r w:rsidDel="00000000" w:rsidR="00000000" w:rsidRPr="00000000">
        <w:rPr>
          <w:sz w:val="24"/>
          <w:szCs w:val="24"/>
          <w:rtl w:val="0"/>
        </w:rPr>
        <w:t xml:space="preserve">: aproximações. Petrópolis: Vozes, 2012. </w:t>
      </w:r>
    </w:p>
    <w:p w:rsidR="00000000" w:rsidDel="00000000" w:rsidP="00000000" w:rsidRDefault="00000000" w:rsidRPr="00000000" w14:paraId="00000022">
      <w:pPr>
        <w:keepLines w:val="1"/>
        <w:widowControl w:val="0"/>
        <w:spacing w:line="240" w:lineRule="auto"/>
        <w:jc w:val="both"/>
        <w:rPr>
          <w:sz w:val="24"/>
          <w:szCs w:val="24"/>
        </w:rPr>
      </w:pPr>
      <w:r w:rsidDel="00000000" w:rsidR="00000000" w:rsidRPr="00000000">
        <w:rPr>
          <w:sz w:val="24"/>
          <w:szCs w:val="24"/>
          <w:rtl w:val="0"/>
        </w:rPr>
        <w:t xml:space="preserve">CHAUÍ, Marilena. </w:t>
      </w:r>
      <w:r w:rsidDel="00000000" w:rsidR="00000000" w:rsidRPr="00000000">
        <w:rPr>
          <w:b w:val="1"/>
          <w:bCs w:val="1"/>
          <w:sz w:val="24"/>
          <w:szCs w:val="24"/>
          <w:rtl w:val="0"/>
        </w:rPr>
        <w:t xml:space="preserve">Escritos sobre a universidade. </w:t>
      </w:r>
      <w:r w:rsidDel="00000000" w:rsidR="00000000" w:rsidRPr="00000000">
        <w:rPr>
          <w:sz w:val="24"/>
          <w:szCs w:val="24"/>
          <w:rtl w:val="0"/>
        </w:rPr>
        <w:t xml:space="preserve">São Paulo: Editora UNESP, 2001.</w:t>
      </w:r>
    </w:p>
    <w:p w:rsidR="00000000" w:rsidDel="00000000" w:rsidP="00000000" w:rsidRDefault="00000000" w:rsidRPr="00000000" w14:paraId="00000023">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4">
      <w:pPr>
        <w:keepLines w:val="1"/>
        <w:widowControl w:val="0"/>
        <w:spacing w:line="240" w:lineRule="auto"/>
        <w:jc w:val="both"/>
        <w:rPr>
          <w:sz w:val="24"/>
          <w:szCs w:val="24"/>
        </w:rPr>
      </w:pPr>
      <w:r w:rsidDel="00000000" w:rsidR="00000000" w:rsidRPr="00000000">
        <w:rPr>
          <w:sz w:val="24"/>
          <w:szCs w:val="24"/>
          <w:rtl w:val="0"/>
        </w:rPr>
        <w:t xml:space="preserve">FREIRE, Paulo. </w:t>
      </w:r>
      <w:r w:rsidDel="00000000" w:rsidR="00000000" w:rsidRPr="00000000">
        <w:rPr>
          <w:b w:val="1"/>
          <w:bCs w:val="1"/>
          <w:sz w:val="24"/>
          <w:szCs w:val="24"/>
          <w:rtl w:val="0"/>
        </w:rPr>
        <w:t xml:space="preserve">Pedagogia do oprimido.</w:t>
      </w:r>
      <w:r w:rsidDel="00000000" w:rsidR="00000000" w:rsidRPr="00000000">
        <w:rPr>
          <w:sz w:val="24"/>
          <w:szCs w:val="24"/>
          <w:rtl w:val="0"/>
        </w:rPr>
        <w:t xml:space="preserve"> 60. ed. Rio de Janeiro: Paz e Terra, 2016.</w:t>
      </w:r>
    </w:p>
    <w:p w:rsidR="00000000" w:rsidDel="00000000" w:rsidP="00000000" w:rsidRDefault="00000000" w:rsidRPr="00000000" w14:paraId="00000025">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6">
      <w:pPr>
        <w:keepLines w:val="1"/>
        <w:widowControl w:val="0"/>
        <w:spacing w:line="240" w:lineRule="auto"/>
        <w:jc w:val="both"/>
        <w:rPr>
          <w:sz w:val="24"/>
          <w:szCs w:val="24"/>
        </w:rPr>
      </w:pPr>
      <w:r w:rsidDel="00000000" w:rsidR="00000000" w:rsidRPr="00000000">
        <w:rPr>
          <w:sz w:val="24"/>
          <w:szCs w:val="24"/>
          <w:rtl w:val="0"/>
        </w:rPr>
        <w:t xml:space="preserve">KRENAK, Ailton. Território e Resistência. Cadernos PROMUSPP, São Paulo, v. 1, n. 1, p. 3-12, out./dez. 2021.</w:t>
      </w:r>
    </w:p>
    <w:p w:rsidR="00000000" w:rsidDel="00000000" w:rsidP="00000000" w:rsidRDefault="00000000" w:rsidRPr="00000000" w14:paraId="00000027">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8">
      <w:pPr>
        <w:keepLines w:val="1"/>
        <w:widowControl w:val="0"/>
        <w:spacing w:line="240" w:lineRule="auto"/>
        <w:jc w:val="both"/>
        <w:rPr>
          <w:sz w:val="24"/>
          <w:szCs w:val="24"/>
        </w:rPr>
      </w:pPr>
      <w:r w:rsidDel="00000000" w:rsidR="00000000" w:rsidRPr="00000000">
        <w:rPr>
          <w:sz w:val="24"/>
          <w:szCs w:val="24"/>
          <w:rtl w:val="0"/>
        </w:rPr>
        <w:t xml:space="preserve">SANTOS, Antônio Bispo dos. </w:t>
      </w:r>
      <w:r w:rsidDel="00000000" w:rsidR="00000000" w:rsidRPr="00000000">
        <w:rPr>
          <w:b w:val="1"/>
          <w:bCs w:val="1"/>
          <w:sz w:val="24"/>
          <w:szCs w:val="24"/>
          <w:rtl w:val="0"/>
        </w:rPr>
        <w:t xml:space="preserve">Colonização, quilombos: modos e significações.</w:t>
      </w:r>
      <w:r w:rsidDel="00000000" w:rsidR="00000000" w:rsidRPr="00000000">
        <w:rPr>
          <w:sz w:val="24"/>
          <w:szCs w:val="24"/>
          <w:rtl w:val="0"/>
        </w:rPr>
        <w:t xml:space="preserve"> Brasília: INCTI/UnB, 2015.</w:t>
      </w:r>
    </w:p>
    <w:p w:rsidR="00000000" w:rsidDel="00000000" w:rsidP="00000000" w:rsidRDefault="00000000" w:rsidRPr="00000000" w14:paraId="00000029">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A">
      <w:pPr>
        <w:keepLines w:val="1"/>
        <w:widowControl w:val="0"/>
        <w:spacing w:line="240" w:lineRule="auto"/>
        <w:jc w:val="both"/>
        <w:rPr>
          <w:sz w:val="24"/>
          <w:szCs w:val="24"/>
        </w:rPr>
      </w:pPr>
      <w:r w:rsidDel="00000000" w:rsidR="00000000" w:rsidRPr="00000000">
        <w:rPr>
          <w:sz w:val="24"/>
          <w:szCs w:val="24"/>
          <w:rtl w:val="0"/>
        </w:rPr>
        <w:t xml:space="preserve">SANTOS, Boaventura de Sousa; MENESES, Maria Paula (orgs.). </w:t>
      </w:r>
      <w:r w:rsidDel="00000000" w:rsidR="00000000" w:rsidRPr="00000000">
        <w:rPr>
          <w:b w:val="1"/>
          <w:bCs w:val="1"/>
          <w:sz w:val="24"/>
          <w:szCs w:val="24"/>
          <w:rtl w:val="0"/>
        </w:rPr>
        <w:t xml:space="preserve">Epistemologias do Sul.</w:t>
      </w:r>
      <w:r w:rsidDel="00000000" w:rsidR="00000000" w:rsidRPr="00000000">
        <w:rPr>
          <w:sz w:val="24"/>
          <w:szCs w:val="24"/>
          <w:rtl w:val="0"/>
        </w:rPr>
        <w:t xml:space="preserve"> São Paulo: Cortez, 2010.</w:t>
      </w:r>
    </w:p>
    <w:p w:rsidR="00000000" w:rsidDel="00000000" w:rsidP="00000000" w:rsidRDefault="00000000" w:rsidRPr="00000000" w14:paraId="0000002B">
      <w:pPr>
        <w:spacing w:after="200" w:line="24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-304795</wp:posOffset>
          </wp:positionV>
          <wp:extent cx="664882" cy="762000"/>
          <wp:effectExtent b="0" l="0" r="0" t="0"/>
          <wp:wrapNone/>
          <wp:docPr id="2"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-5709</wp:posOffset>
          </wp:positionV>
          <wp:extent cx="416339" cy="1071657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brunalira@discente.ufg.br" TargetMode="Externa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