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2B64" w:rsidRPr="00C4583A" w:rsidRDefault="00B27D21">
      <w:pPr>
        <w:spacing w:after="200" w:line="240" w:lineRule="auto"/>
        <w:jc w:val="center"/>
        <w:rPr>
          <w:szCs w:val="24"/>
        </w:rPr>
      </w:pPr>
      <w:r w:rsidRPr="00C4583A">
        <w:rPr>
          <w:b/>
          <w:szCs w:val="24"/>
        </w:rPr>
        <w:t>CONVERSATÓRIO 2 - VIVENCIANDO A EDUCAÇÃO NA MATRIZ AFRICANA</w:t>
      </w:r>
    </w:p>
    <w:p w:rsidR="00162B64" w:rsidRPr="00C4583A" w:rsidRDefault="009D2CB2">
      <w:pPr>
        <w:spacing w:after="200" w:line="240" w:lineRule="auto"/>
        <w:jc w:val="center"/>
        <w:rPr>
          <w:szCs w:val="24"/>
        </w:rPr>
      </w:pPr>
      <w:r w:rsidRPr="00C4583A">
        <w:rPr>
          <w:b/>
          <w:szCs w:val="24"/>
        </w:rPr>
        <w:t>Tereza de Benguela e as pedagogias do Quilombo Grande/</w:t>
      </w:r>
      <w:proofErr w:type="spellStart"/>
      <w:r w:rsidRPr="00C4583A">
        <w:rPr>
          <w:b/>
          <w:szCs w:val="24"/>
        </w:rPr>
        <w:t>Quariterê</w:t>
      </w:r>
      <w:proofErr w:type="spellEnd"/>
      <w:r w:rsidRPr="00C4583A">
        <w:rPr>
          <w:b/>
          <w:szCs w:val="24"/>
        </w:rPr>
        <w:t>: saberes de matriz africana no Vale do Guaporé</w:t>
      </w:r>
    </w:p>
    <w:p w:rsidR="00162B64" w:rsidRPr="00C4583A" w:rsidRDefault="00B27D21">
      <w:pPr>
        <w:spacing w:after="200" w:line="240" w:lineRule="auto"/>
        <w:jc w:val="right"/>
        <w:rPr>
          <w:szCs w:val="24"/>
        </w:rPr>
      </w:pPr>
      <w:r w:rsidRPr="00C4583A">
        <w:rPr>
          <w:szCs w:val="24"/>
        </w:rPr>
        <w:t xml:space="preserve">Manuela Arruda dos Santos Nunes da Silva, Instituto Federal de Mato Grosso (IFMT), </w:t>
      </w:r>
      <w:r w:rsidRPr="00C4583A">
        <w:rPr>
          <w:szCs w:val="24"/>
        </w:rPr>
        <w:t>manuela.arruda.santos@gmail.com</w:t>
      </w:r>
    </w:p>
    <w:p w:rsidR="00162B64" w:rsidRPr="00C4583A" w:rsidRDefault="00B27D21">
      <w:pPr>
        <w:spacing w:after="120"/>
        <w:rPr>
          <w:szCs w:val="24"/>
        </w:rPr>
      </w:pPr>
      <w:r w:rsidRPr="00C4583A">
        <w:rPr>
          <w:b/>
          <w:szCs w:val="24"/>
        </w:rPr>
        <w:t>RESUMO</w:t>
      </w:r>
    </w:p>
    <w:p w:rsidR="00767705" w:rsidRPr="00C4583A" w:rsidRDefault="00767705" w:rsidP="00767705">
      <w:pPr>
        <w:ind w:firstLine="709"/>
        <w:jc w:val="both"/>
        <w:rPr>
          <w:szCs w:val="24"/>
        </w:rPr>
      </w:pPr>
      <w:r w:rsidRPr="00C4583A">
        <w:rPr>
          <w:szCs w:val="24"/>
        </w:rPr>
        <w:t xml:space="preserve">Este trabalho nasce de uma inquietação que me acompanha desde o chão da escola, na Fronteira Oeste de Mato Grosso: como </w:t>
      </w:r>
      <w:proofErr w:type="spellStart"/>
      <w:r w:rsidRPr="00C4583A">
        <w:rPr>
          <w:szCs w:val="24"/>
        </w:rPr>
        <w:t>historicizar</w:t>
      </w:r>
      <w:proofErr w:type="spellEnd"/>
      <w:r w:rsidRPr="00C4583A">
        <w:rPr>
          <w:szCs w:val="24"/>
        </w:rPr>
        <w:t xml:space="preserve"> Tereza de Benguela e trazer sua trajetória para a sala de aula diante de sua ausência nos livros didáticos e da ampla circulação de informações imprecisas sobre ela na internet? O desafio consistia em construir uma abordagem que não aprisionasse Tereza à violência da escravização, nem reproduzisse narrativas sem sustentação documental, mas permitisse compreender os saberes, as relações e as formas de organização coletiva que sustentaram o Quilombo Grande/</w:t>
      </w:r>
      <w:proofErr w:type="spellStart"/>
      <w:r w:rsidRPr="00C4583A">
        <w:rPr>
          <w:szCs w:val="24"/>
        </w:rPr>
        <w:t>Quariterê</w:t>
      </w:r>
      <w:proofErr w:type="spellEnd"/>
      <w:r w:rsidRPr="00C4583A">
        <w:rPr>
          <w:szCs w:val="24"/>
        </w:rPr>
        <w:t xml:space="preserve">. Essa questão orientou o primeiro capítulo da tese </w:t>
      </w:r>
      <w:r w:rsidRPr="00C4583A">
        <w:rPr>
          <w:rStyle w:val="nfase"/>
          <w:szCs w:val="24"/>
        </w:rPr>
        <w:t>Tereza de Benguela: narrativas, representações e disputas de memória (1994–2014)</w:t>
      </w:r>
      <w:r w:rsidRPr="00C4583A">
        <w:rPr>
          <w:szCs w:val="24"/>
        </w:rPr>
        <w:t xml:space="preserve"> (Silva, 2026) e chega a este </w:t>
      </w:r>
      <w:proofErr w:type="spellStart"/>
      <w:r w:rsidRPr="00C4583A">
        <w:rPr>
          <w:szCs w:val="24"/>
        </w:rPr>
        <w:t>conversatório</w:t>
      </w:r>
      <w:proofErr w:type="spellEnd"/>
      <w:r w:rsidRPr="00C4583A">
        <w:rPr>
          <w:szCs w:val="24"/>
        </w:rPr>
        <w:t xml:space="preserve"> como convite à escuta e à construção compartilhada. Proponho colocar em roda os vestígios de uma experiência histórica que permite reconhecer a educação de matriz africana como produção de mundo, tecnologia de continuidade e prática de liberdade.</w:t>
      </w:r>
      <w:r w:rsidRPr="00C4583A">
        <w:rPr>
          <w:szCs w:val="24"/>
        </w:rPr>
        <w:t xml:space="preserve"> </w:t>
      </w:r>
    </w:p>
    <w:p w:rsidR="001931D8" w:rsidRPr="00C4583A" w:rsidRDefault="00767705" w:rsidP="001931D8">
      <w:pPr>
        <w:ind w:firstLine="709"/>
        <w:jc w:val="both"/>
        <w:rPr>
          <w:szCs w:val="24"/>
        </w:rPr>
      </w:pPr>
      <w:r w:rsidRPr="00C4583A">
        <w:rPr>
          <w:szCs w:val="24"/>
        </w:rPr>
        <w:t xml:space="preserve">O nome de Tereza de Benguela alcançou maior circulação pública nas últimas décadas. Essa visibilidade, contudo, tem sido acompanhada pela repetição de narrativas breves que reproduzem informações equivocadas e apresentam sua trajetória de forma descolada do tempo e do território em que viveu. Tereza aparece frequentemente como “Rainha do Pantanal”, </w:t>
      </w:r>
      <w:r w:rsidR="001931D8" w:rsidRPr="00C4583A">
        <w:rPr>
          <w:szCs w:val="24"/>
        </w:rPr>
        <w:t>“</w:t>
      </w:r>
      <w:r w:rsidRPr="00C4583A">
        <w:rPr>
          <w:szCs w:val="24"/>
        </w:rPr>
        <w:t>esposa</w:t>
      </w:r>
      <w:r w:rsidR="001931D8" w:rsidRPr="00C4583A">
        <w:rPr>
          <w:szCs w:val="24"/>
        </w:rPr>
        <w:t>”</w:t>
      </w:r>
      <w:r w:rsidRPr="00C4583A">
        <w:rPr>
          <w:szCs w:val="24"/>
        </w:rPr>
        <w:t xml:space="preserve"> de José Piolho e líder solitária de um quilombo destruído pelas forças coloniais. Essas formulações simplificam a experiência histórica do Quilombo Grande/</w:t>
      </w:r>
      <w:proofErr w:type="spellStart"/>
      <w:r w:rsidRPr="00C4583A">
        <w:rPr>
          <w:szCs w:val="24"/>
        </w:rPr>
        <w:t>Quariterê</w:t>
      </w:r>
      <w:proofErr w:type="spellEnd"/>
      <w:r w:rsidRPr="00C4583A">
        <w:rPr>
          <w:szCs w:val="24"/>
        </w:rPr>
        <w:t xml:space="preserve"> e transformam em certezas informações que não encontram sustentação na documentação conhecida. O título de </w:t>
      </w:r>
      <w:r w:rsidR="001931D8" w:rsidRPr="00C4583A">
        <w:rPr>
          <w:szCs w:val="24"/>
        </w:rPr>
        <w:t>“</w:t>
      </w:r>
      <w:r w:rsidRPr="00C4583A">
        <w:rPr>
          <w:szCs w:val="24"/>
        </w:rPr>
        <w:t>Rainha do Pantanal</w:t>
      </w:r>
      <w:r w:rsidR="001931D8" w:rsidRPr="00C4583A">
        <w:rPr>
          <w:szCs w:val="24"/>
        </w:rPr>
        <w:t>”</w:t>
      </w:r>
      <w:r w:rsidRPr="00C4583A">
        <w:rPr>
          <w:szCs w:val="24"/>
        </w:rPr>
        <w:t xml:space="preserve">, consolidado no tempo presente, desloca geograficamente sua atuação do Vale do Guaporé, na Fronteira Oeste da América portuguesa. O relato colonial de 1770, por sua vez, não identifica José Piolho como marido de Tereza nem como rei do Quilombo Grande. O mesmo documento registra um conselho, uma casa destinada às reuniões e dias assinalados para deliberações coletivas, afastando a imagem de uma liderança isolada (Amado; </w:t>
      </w:r>
      <w:proofErr w:type="spellStart"/>
      <w:r w:rsidRPr="00C4583A">
        <w:rPr>
          <w:szCs w:val="24"/>
        </w:rPr>
        <w:t>Anzai</w:t>
      </w:r>
      <w:proofErr w:type="spellEnd"/>
      <w:r w:rsidRPr="00C4583A">
        <w:rPr>
          <w:szCs w:val="24"/>
        </w:rPr>
        <w:t xml:space="preserve">, 2006). </w:t>
      </w:r>
      <w:proofErr w:type="spellStart"/>
      <w:r w:rsidRPr="00C4583A">
        <w:rPr>
          <w:szCs w:val="24"/>
        </w:rPr>
        <w:t>Historicizar</w:t>
      </w:r>
      <w:proofErr w:type="spellEnd"/>
      <w:r w:rsidRPr="00C4583A">
        <w:rPr>
          <w:szCs w:val="24"/>
        </w:rPr>
        <w:t xml:space="preserve"> </w:t>
      </w:r>
      <w:r w:rsidRPr="00C4583A">
        <w:rPr>
          <w:szCs w:val="24"/>
        </w:rPr>
        <w:lastRenderedPageBreak/>
        <w:t xml:space="preserve">Tereza exige, portanto, restituí-la ao seu tempo, ao território </w:t>
      </w:r>
      <w:proofErr w:type="spellStart"/>
      <w:r w:rsidRPr="00C4583A">
        <w:rPr>
          <w:szCs w:val="24"/>
        </w:rPr>
        <w:t>guaporeano</w:t>
      </w:r>
      <w:proofErr w:type="spellEnd"/>
      <w:r w:rsidRPr="00C4583A">
        <w:rPr>
          <w:szCs w:val="24"/>
        </w:rPr>
        <w:t xml:space="preserve"> e às relações políticas, sociais e culturais que sustentaram aquela comunidade. É a partir desse deslocamento que proponho perguntar: quais conhecimentos tornaram possível organizar, governar e manter, por décadas, uma comunidade negra e afro-indígena fora da ordem escravista no Vale do Guaporé?</w:t>
      </w:r>
      <w:r w:rsidR="001931D8" w:rsidRPr="00C4583A">
        <w:rPr>
          <w:szCs w:val="24"/>
        </w:rPr>
        <w:t xml:space="preserve"> </w:t>
      </w:r>
    </w:p>
    <w:p w:rsidR="009D2CB2" w:rsidRPr="00C4583A" w:rsidRDefault="001931D8" w:rsidP="009D2CB2">
      <w:pPr>
        <w:ind w:firstLine="709"/>
        <w:jc w:val="both"/>
        <w:rPr>
          <w:szCs w:val="24"/>
        </w:rPr>
      </w:pPr>
      <w:r w:rsidRPr="00C4583A">
        <w:rPr>
          <w:szCs w:val="24"/>
        </w:rPr>
        <w:t xml:space="preserve">O percurso da pesquisa reconecta o território </w:t>
      </w:r>
      <w:proofErr w:type="spellStart"/>
      <w:r w:rsidRPr="00C4583A">
        <w:rPr>
          <w:szCs w:val="24"/>
        </w:rPr>
        <w:t>guaporeano</w:t>
      </w:r>
      <w:proofErr w:type="spellEnd"/>
      <w:r w:rsidRPr="00C4583A">
        <w:rPr>
          <w:szCs w:val="24"/>
        </w:rPr>
        <w:t xml:space="preserve"> à África Centro-Ocidental. A designação “de Benguela” é compreendida como marcador de procedência ou de trânsito pelo porto de Benguela, e não como sobrenome. Homens e mulheres arrancados de diferentes sociedades africanas atravessaram o Atlântico portando conhecimentos de agricultura, metalurgia, mineração, espiritualidade, organização política e vida comunitária.</w:t>
      </w:r>
    </w:p>
    <w:p w:rsidR="009D2CB2" w:rsidRPr="00C4583A" w:rsidRDefault="009D2CB2" w:rsidP="009D2CB2">
      <w:pPr>
        <w:ind w:firstLine="709"/>
        <w:jc w:val="both"/>
        <w:rPr>
          <w:szCs w:val="24"/>
        </w:rPr>
      </w:pPr>
      <w:r w:rsidRPr="00C4583A">
        <w:rPr>
          <w:szCs w:val="24"/>
        </w:rPr>
        <w:t xml:space="preserve">Reconhecer esses repertórios rompe com a linguagem colonial que os converteu em mão de obra indiferenciada e ocultou trajetórias de governantes, especialistas, sábios e técnicos. A experiência de Tereza pode, então, ser inscrita em uma história </w:t>
      </w:r>
      <w:proofErr w:type="spellStart"/>
      <w:r w:rsidRPr="00C4583A">
        <w:rPr>
          <w:szCs w:val="24"/>
        </w:rPr>
        <w:t>diaspórica</w:t>
      </w:r>
      <w:proofErr w:type="spellEnd"/>
      <w:r w:rsidRPr="00C4583A">
        <w:rPr>
          <w:szCs w:val="24"/>
        </w:rPr>
        <w:t xml:space="preserve"> mais ampla, atravessada por formas centro-africanas de governança e pelas memórias de soberanas como </w:t>
      </w:r>
      <w:proofErr w:type="spellStart"/>
      <w:r w:rsidRPr="00C4583A">
        <w:rPr>
          <w:szCs w:val="24"/>
        </w:rPr>
        <w:t>Nzinga</w:t>
      </w:r>
      <w:proofErr w:type="spellEnd"/>
      <w:r w:rsidRPr="00C4583A">
        <w:rPr>
          <w:szCs w:val="24"/>
        </w:rPr>
        <w:t xml:space="preserve"> </w:t>
      </w:r>
      <w:proofErr w:type="spellStart"/>
      <w:r w:rsidRPr="00C4583A">
        <w:rPr>
          <w:szCs w:val="24"/>
        </w:rPr>
        <w:t>Mbandi</w:t>
      </w:r>
      <w:proofErr w:type="spellEnd"/>
      <w:r w:rsidRPr="00C4583A">
        <w:rPr>
          <w:szCs w:val="24"/>
        </w:rPr>
        <w:t xml:space="preserve"> (Fonseca, 2018). Não se trata de estabelecer continuidade automática entre África e Brasil, mas de perceber recriações, adaptações e permanências transformadas sob a violência da escravização e do deslocamento.</w:t>
      </w:r>
    </w:p>
    <w:p w:rsidR="009D2CB2" w:rsidRPr="00C4583A" w:rsidRDefault="009D2CB2" w:rsidP="009D2CB2">
      <w:pPr>
        <w:ind w:firstLine="709"/>
        <w:jc w:val="both"/>
        <w:rPr>
          <w:szCs w:val="24"/>
        </w:rPr>
      </w:pPr>
      <w:r w:rsidRPr="00C4583A">
        <w:rPr>
          <w:szCs w:val="24"/>
        </w:rPr>
        <w:t>Os vestígios do cotidiano ampliam essa leitura. Os Anais de Vila Bela registram roças de milho, feijão, cará, batata, amendoim e algodão; fiação e tecelagem; tendas de ferr</w:t>
      </w:r>
      <w:r w:rsidRPr="00C4583A">
        <w:rPr>
          <w:szCs w:val="24"/>
        </w:rPr>
        <w:t>aria</w:t>
      </w:r>
      <w:r w:rsidRPr="00C4583A">
        <w:rPr>
          <w:szCs w:val="24"/>
        </w:rPr>
        <w:t>; dispositivos de defesa e domínio do território. Esses elementos permitem compreender o quilombo pela chave da “paz quilombola” formulada por Beatriz Nascimento (</w:t>
      </w:r>
      <w:r w:rsidR="00BD424F">
        <w:rPr>
          <w:szCs w:val="24"/>
        </w:rPr>
        <w:t>1985</w:t>
      </w:r>
      <w:r w:rsidRPr="00C4583A">
        <w:rPr>
          <w:szCs w:val="24"/>
        </w:rPr>
        <w:t>): uma formação social voltada à produção da vida</w:t>
      </w:r>
      <w:r w:rsidRPr="00C4583A">
        <w:rPr>
          <w:szCs w:val="24"/>
        </w:rPr>
        <w:t xml:space="preserve"> </w:t>
      </w:r>
      <w:r w:rsidRPr="00C4583A">
        <w:rPr>
          <w:szCs w:val="24"/>
        </w:rPr>
        <w:t>e da continuidade coletiva, que não se define exclusivamente pela fuga, pela guerra ou pelo confronto com o sistema escravista. Plantar, colher, fiar, tecer, forjar, deliberar, proteger e transmitir conhecimentos constituíam dimensões inseparáveis de um projeto comunitário de liberdade.</w:t>
      </w:r>
    </w:p>
    <w:p w:rsidR="00600C3A" w:rsidRDefault="001931D8" w:rsidP="00600C3A">
      <w:pPr>
        <w:ind w:firstLine="709"/>
        <w:jc w:val="both"/>
        <w:rPr>
          <w:szCs w:val="24"/>
        </w:rPr>
      </w:pPr>
      <w:r w:rsidRPr="00C4583A">
        <w:rPr>
          <w:szCs w:val="24"/>
        </w:rPr>
        <w:t>A presença indígena também foi estruturante. A policultura, o manejo do território, os arcos e flechas e a manutenção das roças revelam matrizes indígenas entrelaçadas a técnicas africanas</w:t>
      </w:r>
      <w:r w:rsidR="009D2CB2" w:rsidRPr="00C4583A">
        <w:rPr>
          <w:szCs w:val="24"/>
        </w:rPr>
        <w:t xml:space="preserve">. </w:t>
      </w:r>
      <w:r w:rsidR="009D2CB2" w:rsidRPr="00C4583A">
        <w:rPr>
          <w:szCs w:val="24"/>
        </w:rPr>
        <w:t xml:space="preserve">A </w:t>
      </w:r>
      <w:proofErr w:type="spellStart"/>
      <w:r w:rsidR="009D2CB2" w:rsidRPr="00C4583A">
        <w:rPr>
          <w:szCs w:val="24"/>
        </w:rPr>
        <w:t>amefricanidade</w:t>
      </w:r>
      <w:proofErr w:type="spellEnd"/>
      <w:r w:rsidR="009D2CB2" w:rsidRPr="00C4583A">
        <w:rPr>
          <w:szCs w:val="24"/>
        </w:rPr>
        <w:t>, conforme Lélia Gonzalez (1988), oferece uma chave para compreender esse processo como troca, adaptação e</w:t>
      </w:r>
      <w:r w:rsidR="00C4583A" w:rsidRPr="00C4583A">
        <w:rPr>
          <w:szCs w:val="24"/>
        </w:rPr>
        <w:t xml:space="preserve"> reorganização</w:t>
      </w:r>
      <w:r w:rsidR="009D2CB2" w:rsidRPr="00C4583A">
        <w:rPr>
          <w:szCs w:val="24"/>
        </w:rPr>
        <w:t xml:space="preserve">, sem apagar diferenças nem transformar o encontro em fusão harmoniosa. </w:t>
      </w:r>
      <w:r w:rsidRPr="00C4583A">
        <w:rPr>
          <w:szCs w:val="24"/>
        </w:rPr>
        <w:t xml:space="preserve">Compreendo, assim, o quilombo como espaço de formação humana, no qual aprender estava integrado ao trabalho compartilhado, à defesa comunitária e à convivência entre gerações. A </w:t>
      </w:r>
      <w:r w:rsidRPr="00C4583A">
        <w:rPr>
          <w:szCs w:val="24"/>
        </w:rPr>
        <w:lastRenderedPageBreak/>
        <w:t xml:space="preserve">ancestralidade aparece como repertório vivo, recriado diante de novas condições. Oralidade, corporalidade, senioridade, circularidade e </w:t>
      </w:r>
      <w:proofErr w:type="spellStart"/>
      <w:r w:rsidRPr="00C4583A">
        <w:rPr>
          <w:szCs w:val="24"/>
        </w:rPr>
        <w:t>comunitarismo</w:t>
      </w:r>
      <w:proofErr w:type="spellEnd"/>
      <w:r w:rsidRPr="00C4583A">
        <w:rPr>
          <w:szCs w:val="24"/>
        </w:rPr>
        <w:t xml:space="preserve"> atravessavam a transmissão de conhecimentos e responsabilidades, ainda que o arquivo colonial não tenha registrado as vozes, os gestos e os processos educativos daqueles que pretendia submeter.</w:t>
      </w:r>
      <w:r w:rsidR="00C4583A" w:rsidRPr="00C4583A">
        <w:rPr>
          <w:szCs w:val="24"/>
        </w:rPr>
        <w:t xml:space="preserve"> </w:t>
      </w:r>
    </w:p>
    <w:p w:rsidR="00600C3A" w:rsidRDefault="00600C3A" w:rsidP="00600C3A">
      <w:pPr>
        <w:ind w:firstLine="709"/>
        <w:jc w:val="both"/>
      </w:pPr>
      <w:r>
        <w:t xml:space="preserve">Trazer Tereza de Benguela para a roda, portanto, significa deslocar a pergunta sobre quem ela foi para uma reflexão sobre o mundo que sua comunidade tornou possível. No ensino de História, esse movimento permite abordar a África e a diáspora por meio de conexões históricas concretas e reconhecer as sociedades negras e indígenas como produtoras de ciência, política, tecnologia e pedagogias próprias. Também nos convida a rever práticas escolares que celebram personagens negras em datas específicas, mas mantêm intacta uma narrativa </w:t>
      </w:r>
      <w:proofErr w:type="spellStart"/>
      <w:r>
        <w:t>eurocentrada</w:t>
      </w:r>
      <w:proofErr w:type="spellEnd"/>
      <w:r>
        <w:t xml:space="preserve"> sobre conhecimento, civilização e humanidade. A experiência do Quilombo Grande/</w:t>
      </w:r>
      <w:proofErr w:type="spellStart"/>
      <w:r>
        <w:t>Quariterê</w:t>
      </w:r>
      <w:proofErr w:type="spellEnd"/>
      <w:r>
        <w:t xml:space="preserve"> ensina que a liberdade se produz em comunidade: na capacidade de alimentar, vestir, proteger, governar e recriar vínculos diante de uma ordem organizada para destruí-los.</w:t>
      </w:r>
    </w:p>
    <w:p w:rsidR="00600C3A" w:rsidRDefault="00600C3A" w:rsidP="00600C3A">
      <w:pPr>
        <w:ind w:firstLine="709"/>
        <w:jc w:val="both"/>
      </w:pPr>
      <w:r>
        <w:t xml:space="preserve">Ao colocar a pesquisa em circularidade neste </w:t>
      </w:r>
      <w:proofErr w:type="spellStart"/>
      <w:r>
        <w:t>conversatório</w:t>
      </w:r>
      <w:proofErr w:type="spellEnd"/>
      <w:r>
        <w:t>, o trabalho se abre a outras leituras e possibilita que a historiografia também aprenda com as tecnologias educativas produzidas e atualizadas pelas culturas negras. Tereza não chega à roda sozinha. Com ela chegam mulheres e homens africanos e indígenas, seus conhecimentos, suas estratégias de sobrevivência e seus projetos de futuro. Reconhecer essa presença constitui um gesto de justiça epistêmica e abre caminhos para uma educação antirracista comprometida com o pertencimento, a reparação histórica e o bem viver.</w:t>
      </w:r>
    </w:p>
    <w:p w:rsidR="00600C3A" w:rsidRPr="00C4583A" w:rsidRDefault="00600C3A" w:rsidP="00C4583A">
      <w:pPr>
        <w:ind w:firstLine="709"/>
        <w:jc w:val="both"/>
        <w:rPr>
          <w:szCs w:val="24"/>
        </w:rPr>
      </w:pPr>
    </w:p>
    <w:p w:rsidR="00162B64" w:rsidRPr="00C4583A" w:rsidRDefault="00B27D21">
      <w:pPr>
        <w:spacing w:before="160" w:after="40" w:line="240" w:lineRule="auto"/>
        <w:rPr>
          <w:szCs w:val="24"/>
        </w:rPr>
      </w:pPr>
      <w:r w:rsidRPr="00C4583A">
        <w:rPr>
          <w:b/>
          <w:szCs w:val="24"/>
        </w:rPr>
        <w:t>PALAVRAS-CHAVE</w:t>
      </w:r>
    </w:p>
    <w:p w:rsidR="009D2CB2" w:rsidRPr="003B5A75" w:rsidRDefault="00B27D21" w:rsidP="009D2CB2">
      <w:pPr>
        <w:spacing w:after="160" w:line="240" w:lineRule="auto"/>
        <w:jc w:val="both"/>
        <w:rPr>
          <w:sz w:val="22"/>
        </w:rPr>
      </w:pPr>
      <w:r w:rsidRPr="003B5A75">
        <w:rPr>
          <w:sz w:val="22"/>
        </w:rPr>
        <w:t>Educação de matriz africana; Tereza de Benguela; Quilombo Grande/</w:t>
      </w:r>
      <w:proofErr w:type="spellStart"/>
      <w:r w:rsidRPr="003B5A75">
        <w:rPr>
          <w:sz w:val="22"/>
        </w:rPr>
        <w:t>Quariterê</w:t>
      </w:r>
      <w:proofErr w:type="spellEnd"/>
      <w:r w:rsidRPr="003B5A75">
        <w:rPr>
          <w:sz w:val="22"/>
        </w:rPr>
        <w:t>; Diáspora centro-africana; Saberes afro-indígenas.</w:t>
      </w:r>
      <w:bookmarkStart w:id="0" w:name="_GoBack"/>
      <w:bookmarkEnd w:id="0"/>
    </w:p>
    <w:p w:rsidR="009D2CB2" w:rsidRPr="00C4583A" w:rsidRDefault="009D2CB2" w:rsidP="009D2CB2">
      <w:pPr>
        <w:spacing w:after="160" w:line="240" w:lineRule="auto"/>
        <w:jc w:val="both"/>
        <w:rPr>
          <w:b/>
          <w:szCs w:val="24"/>
        </w:rPr>
      </w:pPr>
    </w:p>
    <w:p w:rsidR="00162B64" w:rsidRPr="00C4583A" w:rsidRDefault="00B27D21" w:rsidP="009D2CB2">
      <w:pPr>
        <w:spacing w:after="160" w:line="240" w:lineRule="auto"/>
        <w:jc w:val="both"/>
        <w:rPr>
          <w:szCs w:val="24"/>
        </w:rPr>
      </w:pPr>
      <w:r w:rsidRPr="00C4583A">
        <w:rPr>
          <w:b/>
          <w:szCs w:val="24"/>
        </w:rPr>
        <w:t>REFERÊNCIAS</w:t>
      </w:r>
    </w:p>
    <w:p w:rsidR="00162B64" w:rsidRDefault="00B27D21">
      <w:pPr>
        <w:spacing w:after="80" w:line="240" w:lineRule="auto"/>
        <w:rPr>
          <w:szCs w:val="24"/>
        </w:rPr>
      </w:pPr>
      <w:r w:rsidRPr="00C4583A">
        <w:rPr>
          <w:szCs w:val="24"/>
        </w:rPr>
        <w:t xml:space="preserve">AMADO, Janaína; ANZAI, Leny </w:t>
      </w:r>
      <w:proofErr w:type="spellStart"/>
      <w:r w:rsidRPr="00C4583A">
        <w:rPr>
          <w:szCs w:val="24"/>
        </w:rPr>
        <w:t>Cas</w:t>
      </w:r>
      <w:r w:rsidRPr="00C4583A">
        <w:rPr>
          <w:szCs w:val="24"/>
        </w:rPr>
        <w:t>elli</w:t>
      </w:r>
      <w:proofErr w:type="spellEnd"/>
      <w:r w:rsidRPr="00C4583A">
        <w:rPr>
          <w:szCs w:val="24"/>
        </w:rPr>
        <w:t xml:space="preserve"> (org.). </w:t>
      </w:r>
      <w:r w:rsidRPr="00600C3A">
        <w:rPr>
          <w:i/>
          <w:szCs w:val="24"/>
        </w:rPr>
        <w:t>Anais de Vila Bela</w:t>
      </w:r>
      <w:r w:rsidRPr="00C4583A">
        <w:rPr>
          <w:szCs w:val="24"/>
        </w:rPr>
        <w:t xml:space="preserve">: 1734-1789. Cuiabá: </w:t>
      </w:r>
      <w:proofErr w:type="spellStart"/>
      <w:r w:rsidRPr="00C4583A">
        <w:rPr>
          <w:szCs w:val="24"/>
        </w:rPr>
        <w:t>EdUFMT</w:t>
      </w:r>
      <w:proofErr w:type="spellEnd"/>
      <w:r w:rsidRPr="00C4583A">
        <w:rPr>
          <w:szCs w:val="24"/>
        </w:rPr>
        <w:t xml:space="preserve">; </w:t>
      </w:r>
      <w:proofErr w:type="spellStart"/>
      <w:r w:rsidRPr="00C4583A">
        <w:rPr>
          <w:szCs w:val="24"/>
        </w:rPr>
        <w:t>Carlini</w:t>
      </w:r>
      <w:proofErr w:type="spellEnd"/>
      <w:r w:rsidRPr="00C4583A">
        <w:rPr>
          <w:szCs w:val="24"/>
        </w:rPr>
        <w:t xml:space="preserve"> &amp; </w:t>
      </w:r>
      <w:proofErr w:type="spellStart"/>
      <w:r w:rsidRPr="00C4583A">
        <w:rPr>
          <w:szCs w:val="24"/>
        </w:rPr>
        <w:t>Caniatto</w:t>
      </w:r>
      <w:proofErr w:type="spellEnd"/>
      <w:r w:rsidRPr="00C4583A">
        <w:rPr>
          <w:szCs w:val="24"/>
        </w:rPr>
        <w:t>, 2006.</w:t>
      </w:r>
    </w:p>
    <w:p w:rsidR="00600C3A" w:rsidRPr="00C4583A" w:rsidRDefault="00600C3A">
      <w:pPr>
        <w:spacing w:after="80" w:line="240" w:lineRule="auto"/>
        <w:rPr>
          <w:szCs w:val="24"/>
        </w:rPr>
      </w:pPr>
    </w:p>
    <w:p w:rsidR="00162B64" w:rsidRDefault="00B27D21">
      <w:pPr>
        <w:spacing w:after="80" w:line="240" w:lineRule="auto"/>
        <w:rPr>
          <w:szCs w:val="24"/>
        </w:rPr>
      </w:pPr>
      <w:r w:rsidRPr="00C4583A">
        <w:rPr>
          <w:szCs w:val="24"/>
        </w:rPr>
        <w:lastRenderedPageBreak/>
        <w:t xml:space="preserve">FONSECA, Mariana </w:t>
      </w:r>
      <w:proofErr w:type="spellStart"/>
      <w:r w:rsidRPr="00C4583A">
        <w:rPr>
          <w:szCs w:val="24"/>
        </w:rPr>
        <w:t>Bracks</w:t>
      </w:r>
      <w:proofErr w:type="spellEnd"/>
      <w:r w:rsidRPr="00C4583A">
        <w:rPr>
          <w:szCs w:val="24"/>
        </w:rPr>
        <w:t xml:space="preserve">. </w:t>
      </w:r>
      <w:r w:rsidRPr="00600C3A">
        <w:rPr>
          <w:i/>
          <w:szCs w:val="24"/>
        </w:rPr>
        <w:t>Ginga de Angola</w:t>
      </w:r>
      <w:r w:rsidRPr="00C4583A">
        <w:rPr>
          <w:szCs w:val="24"/>
        </w:rPr>
        <w:t>: memórias e representações da rainha guerreira na diáspora. 2018. Tese (Doutorado em História Social) - Universidade de São Paulo</w:t>
      </w:r>
      <w:r w:rsidRPr="00C4583A">
        <w:rPr>
          <w:szCs w:val="24"/>
        </w:rPr>
        <w:t>, São Paulo, 2018.</w:t>
      </w:r>
    </w:p>
    <w:p w:rsidR="00600C3A" w:rsidRPr="00C4583A" w:rsidRDefault="00600C3A">
      <w:pPr>
        <w:spacing w:after="80" w:line="240" w:lineRule="auto"/>
        <w:rPr>
          <w:szCs w:val="24"/>
        </w:rPr>
      </w:pPr>
    </w:p>
    <w:p w:rsidR="00162B64" w:rsidRDefault="00B27D21">
      <w:pPr>
        <w:spacing w:after="80" w:line="240" w:lineRule="auto"/>
        <w:rPr>
          <w:szCs w:val="24"/>
        </w:rPr>
      </w:pPr>
      <w:r w:rsidRPr="00C4583A">
        <w:rPr>
          <w:szCs w:val="24"/>
        </w:rPr>
        <w:t xml:space="preserve">GONZALEZ, Lélia. A categoria político-cultural da </w:t>
      </w:r>
      <w:proofErr w:type="spellStart"/>
      <w:r w:rsidRPr="00C4583A">
        <w:rPr>
          <w:szCs w:val="24"/>
        </w:rPr>
        <w:t>amefricanidade</w:t>
      </w:r>
      <w:proofErr w:type="spellEnd"/>
      <w:r w:rsidRPr="00C4583A">
        <w:rPr>
          <w:szCs w:val="24"/>
        </w:rPr>
        <w:t>. Tempo Brasileiro, Rio de Janeiro, n. 92-93, p. 69-82, 1988.</w:t>
      </w:r>
    </w:p>
    <w:p w:rsidR="00600C3A" w:rsidRPr="00C4583A" w:rsidRDefault="00600C3A">
      <w:pPr>
        <w:spacing w:after="80" w:line="240" w:lineRule="auto"/>
        <w:rPr>
          <w:szCs w:val="24"/>
        </w:rPr>
      </w:pPr>
    </w:p>
    <w:p w:rsidR="00600C3A" w:rsidRDefault="00BD424F">
      <w:pPr>
        <w:spacing w:after="80" w:line="240" w:lineRule="auto"/>
      </w:pPr>
      <w:r>
        <w:t xml:space="preserve">NASCIMENTO, </w:t>
      </w:r>
      <w:r w:rsidR="0082273B">
        <w:t xml:space="preserve">Maria </w:t>
      </w:r>
      <w:r>
        <w:t xml:space="preserve">Beatriz. O conceito de quilombo e a resistência cultural negra. </w:t>
      </w:r>
      <w:proofErr w:type="spellStart"/>
      <w:r w:rsidR="00DA493A">
        <w:t>In:</w:t>
      </w:r>
      <w:r>
        <w:rPr>
          <w:rStyle w:val="nfase"/>
        </w:rPr>
        <w:t>Afrodiáspora</w:t>
      </w:r>
      <w:proofErr w:type="spellEnd"/>
      <w:r w:rsidR="00DA493A">
        <w:rPr>
          <w:rStyle w:val="nfase"/>
          <w:i w:val="0"/>
        </w:rPr>
        <w:t>: Revista do mundo negro</w:t>
      </w:r>
      <w:r>
        <w:t xml:space="preserve">, </w:t>
      </w:r>
      <w:proofErr w:type="spellStart"/>
      <w:r w:rsidR="00DA493A">
        <w:t>Ipeafro</w:t>
      </w:r>
      <w:proofErr w:type="spellEnd"/>
      <w:r w:rsidR="00DA493A">
        <w:t xml:space="preserve">, </w:t>
      </w:r>
      <w:r>
        <w:t>n. 6-7, p. 41-49, 1985.</w:t>
      </w:r>
    </w:p>
    <w:p w:rsidR="00BD424F" w:rsidRDefault="00BD424F">
      <w:pPr>
        <w:spacing w:after="80" w:line="240" w:lineRule="auto"/>
        <w:rPr>
          <w:szCs w:val="24"/>
        </w:rPr>
      </w:pPr>
    </w:p>
    <w:p w:rsidR="00600C3A" w:rsidRPr="00C4583A" w:rsidRDefault="00600C3A">
      <w:pPr>
        <w:spacing w:after="80" w:line="240" w:lineRule="auto"/>
        <w:rPr>
          <w:szCs w:val="24"/>
        </w:rPr>
      </w:pPr>
      <w:r>
        <w:t xml:space="preserve">SILVA, Manuela Arruda dos Santos Nunes da. </w:t>
      </w:r>
      <w:r>
        <w:rPr>
          <w:rStyle w:val="nfase"/>
        </w:rPr>
        <w:t>Tereza de Benguela: narrativas, representações e disputas de memória (1994-2014)</w:t>
      </w:r>
      <w:r>
        <w:t xml:space="preserve">. 2026. Tese (Doutorado em História) – Universidade Federal de Mato Grosso, Cuiabá, 2026. Disponível em: </w:t>
      </w:r>
      <w:hyperlink r:id="rId6" w:tgtFrame="_new" w:history="1">
        <w:r>
          <w:rPr>
            <w:rStyle w:val="Hyperlink"/>
          </w:rPr>
          <w:t>https://ufmt.br/curso/ppghis/publicacoes-cientificas?page=1</w:t>
        </w:r>
      </w:hyperlink>
      <w:r>
        <w:t>. Acesso em: 1</w:t>
      </w:r>
      <w:r w:rsidR="00BD424F">
        <w:t>0</w:t>
      </w:r>
      <w:r>
        <w:t xml:space="preserve"> ago. 2026.</w:t>
      </w:r>
    </w:p>
    <w:sectPr w:rsidR="00600C3A" w:rsidRPr="00C4583A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7D21" w:rsidRDefault="00B27D21">
      <w:pPr>
        <w:spacing w:line="240" w:lineRule="auto"/>
      </w:pPr>
      <w:r>
        <w:separator/>
      </w:r>
    </w:p>
  </w:endnote>
  <w:endnote w:type="continuationSeparator" w:id="0">
    <w:p w:rsidR="00B27D21" w:rsidRDefault="00B27D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5C198F7E-A2C0-4134-99D5-76C69AC314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408262B-F42C-463C-8E47-AD6E5B7B50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2B64" w:rsidRDefault="00B27D21">
    <w:pPr>
      <w:jc w:val="center"/>
    </w:pPr>
    <w:r>
      <w:fldChar w:fldCharType="begin"/>
    </w:r>
    <w:r>
      <w:instrText>PAGE</w:instrText>
    </w:r>
    <w:r w:rsidR="00767705">
      <w:fldChar w:fldCharType="separate"/>
    </w:r>
    <w:r w:rsidR="00767705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2B64" w:rsidRDefault="00162B6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7D21" w:rsidRDefault="00B27D21">
      <w:pPr>
        <w:spacing w:line="240" w:lineRule="auto"/>
      </w:pPr>
      <w:r>
        <w:separator/>
      </w:r>
    </w:p>
  </w:footnote>
  <w:footnote w:type="continuationSeparator" w:id="0">
    <w:p w:rsidR="00B27D21" w:rsidRDefault="00B27D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2B64" w:rsidRDefault="00B27D21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162B64" w:rsidRDefault="00162B64">
    <w:pPr>
      <w:jc w:val="right"/>
    </w:pPr>
  </w:p>
  <w:p w:rsidR="00162B64" w:rsidRDefault="00162B64">
    <w:pPr>
      <w:jc w:val="right"/>
    </w:pPr>
  </w:p>
  <w:p w:rsidR="00162B64" w:rsidRDefault="00B27D21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2B64" w:rsidRDefault="00162B6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B64"/>
    <w:rsid w:val="000401ED"/>
    <w:rsid w:val="00162B64"/>
    <w:rsid w:val="001931D8"/>
    <w:rsid w:val="003B5A75"/>
    <w:rsid w:val="00600C3A"/>
    <w:rsid w:val="00767705"/>
    <w:rsid w:val="0082273B"/>
    <w:rsid w:val="009D2CB2"/>
    <w:rsid w:val="00B27D21"/>
    <w:rsid w:val="00BD424F"/>
    <w:rsid w:val="00C4583A"/>
    <w:rsid w:val="00DA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A41DF"/>
  <w15:docId w15:val="{34AC079D-3184-44FA-BC6A-73CAF027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360" w:lineRule="auto"/>
    </w:pPr>
    <w:rPr>
      <w:sz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nfase">
    <w:name w:val="Emphasis"/>
    <w:basedOn w:val="Fontepargpadro"/>
    <w:uiPriority w:val="20"/>
    <w:qFormat/>
    <w:rsid w:val="00767705"/>
    <w:rPr>
      <w:i/>
      <w:iCs/>
    </w:rPr>
  </w:style>
  <w:style w:type="paragraph" w:customStyle="1" w:styleId="pdq2pgselectionanchorcontainer">
    <w:name w:val="pdq2pg_selectionanchorcontainer"/>
    <w:basedOn w:val="Normal"/>
    <w:rsid w:val="00767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767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Forte">
    <w:name w:val="Strong"/>
    <w:basedOn w:val="Fontepargpadro"/>
    <w:uiPriority w:val="22"/>
    <w:qFormat/>
    <w:rsid w:val="00767705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600C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9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4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9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9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6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3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5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5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fmt.br/curso/ppghis/publicacoes-cientificas?page=1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1127</Words>
  <Characters>6810</Characters>
  <Application>Microsoft Office Word</Application>
  <DocSecurity>0</DocSecurity>
  <Lines>108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 Benguela a Quariterê: saberes, territorialidades e políticas de liberdade na diáspora centro-africana</vt:lpstr>
    </vt:vector>
  </TitlesOfParts>
  <Company>IFMT</Company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 Benguela a Quariterê: saberes, territorialidades e políticas de liberdade na diáspora centro-africana</dc:title>
  <dc:subject>Resumo expandido - Conversatório 2</dc:subject>
  <dc:creator>Manuela Arruda dos Santos Nunes da Silva</dc:creator>
  <cp:keywords>educação de matriz africana; Tereza de Benguela; quilombo; diáspora</cp:keywords>
  <cp:lastModifiedBy>IFMT</cp:lastModifiedBy>
  <cp:revision>4</cp:revision>
  <dcterms:created xsi:type="dcterms:W3CDTF">2026-08-16T14:29:00Z</dcterms:created>
  <dcterms:modified xsi:type="dcterms:W3CDTF">2026-08-16T14:35:00Z</dcterms:modified>
</cp:coreProperties>
</file>