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8BF0" w14:textId="5C71A303" w:rsidR="00A44E8B" w:rsidRDefault="00000000">
      <w:pPr>
        <w:keepLines/>
        <w:widowControl w:val="0"/>
        <w:spacing w:after="200" w:line="240" w:lineRule="auto"/>
        <w:ind w:right="4"/>
        <w:jc w:val="center"/>
        <w:rPr>
          <w:b/>
          <w:bCs/>
          <w:sz w:val="24"/>
          <w:szCs w:val="24"/>
        </w:rPr>
      </w:pPr>
      <w:r>
        <w:rPr>
          <w:b/>
          <w:bCs/>
          <w:sz w:val="24"/>
          <w:szCs w:val="24"/>
        </w:rPr>
        <w:t xml:space="preserve">CONVERSATÓRIO </w:t>
      </w:r>
      <w:r w:rsidR="00B5705F">
        <w:rPr>
          <w:b/>
          <w:bCs/>
          <w:sz w:val="24"/>
          <w:szCs w:val="24"/>
        </w:rPr>
        <w:t>6</w:t>
      </w:r>
      <w:r>
        <w:rPr>
          <w:b/>
          <w:bCs/>
          <w:sz w:val="24"/>
          <w:szCs w:val="24"/>
        </w:rPr>
        <w:t xml:space="preserve"> </w:t>
      </w:r>
      <w:r w:rsidR="00A25CDB">
        <w:rPr>
          <w:b/>
          <w:bCs/>
          <w:sz w:val="24"/>
          <w:szCs w:val="24"/>
        </w:rPr>
        <w:t>–</w:t>
      </w:r>
      <w:r>
        <w:rPr>
          <w:b/>
          <w:bCs/>
          <w:sz w:val="24"/>
          <w:szCs w:val="24"/>
        </w:rPr>
        <w:t xml:space="preserve"> </w:t>
      </w:r>
      <w:r w:rsidR="00F21F09" w:rsidRPr="00F21F09">
        <w:rPr>
          <w:b/>
          <w:bCs/>
          <w:sz w:val="24"/>
          <w:szCs w:val="24"/>
        </w:rPr>
        <w:t>D</w:t>
      </w:r>
      <w:r w:rsidR="00A25CDB">
        <w:rPr>
          <w:b/>
          <w:bCs/>
          <w:sz w:val="24"/>
          <w:szCs w:val="24"/>
        </w:rPr>
        <w:t>ECOLONIZAR AS INFÂNCIAS: AS VOZES DAS CRIANÇAS COMO PERSPECTIVAS OUTRAS</w:t>
      </w:r>
    </w:p>
    <w:p w14:paraId="376D43C3" w14:textId="77777777" w:rsidR="00C3112E" w:rsidRDefault="00C3112E">
      <w:pPr>
        <w:keepLines/>
        <w:widowControl w:val="0"/>
        <w:spacing w:after="200" w:line="240" w:lineRule="auto"/>
        <w:ind w:right="4"/>
        <w:jc w:val="center"/>
        <w:rPr>
          <w:sz w:val="24"/>
          <w:szCs w:val="24"/>
        </w:rPr>
      </w:pPr>
    </w:p>
    <w:p w14:paraId="71B122FF" w14:textId="77777777" w:rsidR="009335AE" w:rsidRDefault="009335AE" w:rsidP="00C3112E">
      <w:pPr>
        <w:spacing w:after="160" w:line="360" w:lineRule="auto"/>
        <w:jc w:val="center"/>
        <w:rPr>
          <w:b/>
          <w:bCs/>
          <w:sz w:val="24"/>
          <w:szCs w:val="24"/>
        </w:rPr>
      </w:pPr>
      <w:r w:rsidRPr="00C3112E">
        <w:rPr>
          <w:b/>
          <w:bCs/>
          <w:sz w:val="24"/>
          <w:szCs w:val="24"/>
        </w:rPr>
        <w:t>Quem fala sobre as crianças? Colonialidade, racismo e disputa de narrativas nos sistemas de proteção à infância, adolescência e juventude</w:t>
      </w:r>
    </w:p>
    <w:p w14:paraId="605F97CB" w14:textId="77777777" w:rsidR="00C3112E" w:rsidRPr="00C3112E" w:rsidRDefault="00C3112E" w:rsidP="00C3112E">
      <w:pPr>
        <w:spacing w:after="160" w:line="360" w:lineRule="auto"/>
        <w:jc w:val="center"/>
        <w:rPr>
          <w:b/>
          <w:bCs/>
          <w:sz w:val="24"/>
          <w:szCs w:val="24"/>
        </w:rPr>
      </w:pPr>
    </w:p>
    <w:p w14:paraId="1E59A17D" w14:textId="193AD34E" w:rsidR="00A44E8B" w:rsidRDefault="009335AE">
      <w:pPr>
        <w:keepLines/>
        <w:widowControl w:val="0"/>
        <w:spacing w:after="200" w:line="240" w:lineRule="auto"/>
        <w:ind w:left="2551" w:right="4"/>
        <w:jc w:val="right"/>
        <w:rPr>
          <w:sz w:val="24"/>
          <w:szCs w:val="24"/>
        </w:rPr>
      </w:pPr>
      <w:r>
        <w:rPr>
          <w:sz w:val="24"/>
          <w:szCs w:val="24"/>
        </w:rPr>
        <w:t>Michele Donizete Ferreira Borges</w:t>
      </w:r>
      <w:r w:rsidR="00000000">
        <w:rPr>
          <w:sz w:val="24"/>
          <w:szCs w:val="24"/>
        </w:rPr>
        <w:t xml:space="preserve">, </w:t>
      </w:r>
      <w:r>
        <w:rPr>
          <w:sz w:val="24"/>
          <w:szCs w:val="24"/>
        </w:rPr>
        <w:t>Pontifícia Universidade Católica de São Paulo</w:t>
      </w:r>
      <w:r w:rsidR="00000000">
        <w:rPr>
          <w:sz w:val="24"/>
          <w:szCs w:val="24"/>
        </w:rPr>
        <w:t xml:space="preserve">, </w:t>
      </w:r>
      <w:hyperlink r:id="rId7" w:history="1">
        <w:r w:rsidR="009E6658" w:rsidRPr="00F5417D">
          <w:rPr>
            <w:rStyle w:val="Hyperlink"/>
            <w:sz w:val="24"/>
            <w:szCs w:val="24"/>
          </w:rPr>
          <w:t>micheledfborges@gmail.com</w:t>
        </w:r>
      </w:hyperlink>
      <w:r w:rsidR="007106EB">
        <w:t xml:space="preserve"> </w:t>
      </w:r>
    </w:p>
    <w:p w14:paraId="6F94EBBC" w14:textId="77777777" w:rsidR="00A44E8B" w:rsidRDefault="00A44E8B">
      <w:pPr>
        <w:keepLines/>
        <w:widowControl w:val="0"/>
        <w:spacing w:after="200" w:line="240" w:lineRule="auto"/>
        <w:ind w:right="4"/>
        <w:jc w:val="right"/>
        <w:rPr>
          <w:sz w:val="24"/>
          <w:szCs w:val="24"/>
        </w:rPr>
      </w:pPr>
    </w:p>
    <w:p w14:paraId="3F247565" w14:textId="77777777" w:rsidR="00A44E8B" w:rsidRDefault="00000000">
      <w:pPr>
        <w:keepLines/>
        <w:widowControl w:val="0"/>
        <w:spacing w:before="200" w:after="200" w:line="360" w:lineRule="auto"/>
        <w:ind w:right="4"/>
        <w:rPr>
          <w:b/>
          <w:bCs/>
          <w:sz w:val="24"/>
          <w:szCs w:val="24"/>
        </w:rPr>
      </w:pPr>
      <w:r>
        <w:rPr>
          <w:b/>
          <w:bCs/>
          <w:sz w:val="24"/>
          <w:szCs w:val="24"/>
        </w:rPr>
        <w:t>RESUMO</w:t>
      </w:r>
    </w:p>
    <w:p w14:paraId="56042820" w14:textId="511EDE47" w:rsidR="009E6658" w:rsidRPr="00CE5700" w:rsidRDefault="009E6658" w:rsidP="009E6658">
      <w:pPr>
        <w:spacing w:after="160" w:line="360" w:lineRule="auto"/>
        <w:jc w:val="both"/>
      </w:pPr>
      <w:r w:rsidRPr="00CE5700">
        <w:t>Ao afirmar que “o mundo é nosso”, Djonga</w:t>
      </w:r>
      <w:r w:rsidR="00A20A9A">
        <w:t xml:space="preserve"> (2017)</w:t>
      </w:r>
      <w:r w:rsidRPr="00CE5700">
        <w:t xml:space="preserve"> desloca o olhar da experiência individual para a construção de um comum. A frase não opera apenas como afirmação identitária, mas como produção de pertencimento coletivo e reposicionamento político. Essa formulação oferece uma importante chave de leitura para pensar as experiências de crianças, adolescentes e jovens que atravessam os sistemas de acolhimento institucional. Ao contrário da imagem que os situa apenas como destinatários das políticas públicas, suas trajetórias revelam formas de interpretação da realidade, elaboração da memória e produção de conhecimento que desafiam perspectivas </w:t>
      </w:r>
      <w:proofErr w:type="spellStart"/>
      <w:r w:rsidRPr="00CE5700">
        <w:t>adultocêntricas</w:t>
      </w:r>
      <w:proofErr w:type="spellEnd"/>
      <w:r w:rsidRPr="00CE5700">
        <w:t xml:space="preserve"> e coloniais sobre as infâncias.</w:t>
      </w:r>
    </w:p>
    <w:p w14:paraId="788447D6" w14:textId="77777777" w:rsidR="009E6658" w:rsidRPr="00CE5700" w:rsidRDefault="009E6658" w:rsidP="009E6658">
      <w:pPr>
        <w:spacing w:after="160" w:line="360" w:lineRule="auto"/>
        <w:jc w:val="both"/>
      </w:pPr>
      <w:r w:rsidRPr="00CE5700">
        <w:t>A discussão sobre o acolhimento institucional de crianças e adolescentes no Brasil tem sido tradicionalmente conduzida a partir das instituições, das políticas públicas e dos profissionais responsáveis por sua execução. Embora fundamentais, tais perspectivas frequentemente relegam as próprias crianças ao lugar de destinatárias das ações, produzindo um paradoxo</w:t>
      </w:r>
      <w:r>
        <w:t>, pois</w:t>
      </w:r>
      <w:r w:rsidRPr="00CE5700">
        <w:t xml:space="preserve"> fala-se constantemente sobre elas, mas raramente a partir delas. Em diálogo com os debates decoloniais e antirracistas sobre as infâncias, este trabalho propõe deslocar esse lugar de fala institucional para interrogar o que as experiências de crianças e adolescentes negros revelam sobre os limites coloniais das políticas de proteção e sobre a produção de conhecimentos nascidos das próprias trajetórias de acolhimento.</w:t>
      </w:r>
    </w:p>
    <w:p w14:paraId="05C4D262" w14:textId="77777777" w:rsidR="009E6658" w:rsidRPr="00CE5700" w:rsidRDefault="009E6658" w:rsidP="009E6658">
      <w:pPr>
        <w:spacing w:after="160" w:line="360" w:lineRule="auto"/>
        <w:jc w:val="both"/>
      </w:pPr>
      <w:r w:rsidRPr="00CE5700">
        <w:t xml:space="preserve">A análise parte da pesquisa de doutorado </w:t>
      </w:r>
      <w:r>
        <w:t>“</w:t>
      </w:r>
      <w:r w:rsidRPr="00CE5700">
        <w:rPr>
          <w:i/>
          <w:iCs/>
        </w:rPr>
        <w:t xml:space="preserve">A abolição acontece todos os dias: a herança da </w:t>
      </w:r>
      <w:proofErr w:type="spellStart"/>
      <w:r w:rsidRPr="00CE5700">
        <w:rPr>
          <w:i/>
          <w:iCs/>
        </w:rPr>
        <w:t>branqui</w:t>
      </w:r>
      <w:proofErr w:type="spellEnd"/>
      <w:r w:rsidRPr="00CE5700">
        <w:rPr>
          <w:i/>
          <w:iCs/>
        </w:rPr>
        <w:t>(e)</w:t>
      </w:r>
      <w:proofErr w:type="spellStart"/>
      <w:r w:rsidRPr="00CE5700">
        <w:rPr>
          <w:i/>
          <w:iCs/>
        </w:rPr>
        <w:t>tude</w:t>
      </w:r>
      <w:proofErr w:type="spellEnd"/>
      <w:r w:rsidRPr="00CE5700">
        <w:rPr>
          <w:i/>
          <w:iCs/>
        </w:rPr>
        <w:t xml:space="preserve"> na repetição estrutural do desacolhimento institucional</w:t>
      </w:r>
      <w:r>
        <w:rPr>
          <w:i/>
          <w:iCs/>
        </w:rPr>
        <w:t>”</w:t>
      </w:r>
      <w:r w:rsidRPr="00CE5700">
        <w:t xml:space="preserve">, que investiga os efeitos do racismo na constituição subjetiva e nas trajetórias de adolescentes e jovens em processo de desligamento institucional por maioridade. Mais do que descrever mecanismos de exclusão, interessa compreender como crianças e adolescentes produzem leituras </w:t>
      </w:r>
      <w:r w:rsidRPr="00CE5700">
        <w:lastRenderedPageBreak/>
        <w:t>próprias sobre abandono, pertencimento, cuidado, violência e resistência, questionando uma tradição que historicamente transformou a infância em objeto de saber ao mesmo tempo em que desautorizou sua capacidade de interpretar a realidade que vivencia.</w:t>
      </w:r>
    </w:p>
    <w:p w14:paraId="6AC7B3F8" w14:textId="77777777" w:rsidR="009E6658" w:rsidRPr="00CE5700" w:rsidRDefault="009E6658" w:rsidP="009E6658">
      <w:pPr>
        <w:spacing w:after="160" w:line="360" w:lineRule="auto"/>
        <w:jc w:val="both"/>
      </w:pPr>
      <w:r w:rsidRPr="00CE5700">
        <w:t xml:space="preserve">A pesquisa, de caráter qualitativo e interdisciplinar, tensiona a psicanálise lacaniana a partir de chaves de leitura afrodiaspóricas, mobilizando </w:t>
      </w:r>
      <w:proofErr w:type="spellStart"/>
      <w:r w:rsidRPr="00CE5700">
        <w:t>itans</w:t>
      </w:r>
      <w:proofErr w:type="spellEnd"/>
      <w:r w:rsidRPr="00CE5700">
        <w:t xml:space="preserve"> da tradição iorubá, RAP, samba e produções literárias negras como operadores teóricos e não como objetos de análise. Nessa encruzilhada epistemológica, os saberes afrodiaspóricos não aparecem como complemento da psicanálise, mas como pontos de questionamento de seus pressupostos universalizantes e de suas formas tradicionais de transmissão. Os </w:t>
      </w:r>
      <w:proofErr w:type="spellStart"/>
      <w:r w:rsidRPr="00CE5700">
        <w:t>itans</w:t>
      </w:r>
      <w:proofErr w:type="spellEnd"/>
      <w:r w:rsidRPr="00CE5700">
        <w:t>, o RAP e o samba passam a operar como lentes analíticas capazes de interrogar a história racial brasileira e deslocar a escuta de uma suposta neutralidade para uma implicação com as condições concretas da vida social.</w:t>
      </w:r>
    </w:p>
    <w:p w14:paraId="0A501E0B" w14:textId="77777777" w:rsidR="009E6658" w:rsidRPr="00CE5700" w:rsidRDefault="009E6658" w:rsidP="009E6658">
      <w:pPr>
        <w:spacing w:after="160" w:line="360" w:lineRule="auto"/>
        <w:jc w:val="both"/>
      </w:pPr>
      <w:r w:rsidRPr="00CE5700">
        <w:t>A presença majoritária de crianças e adolescentes negros nos serviços de acolhimento evidencia que o racismo constitui elemento estruturante das políticas de proteção. Entretanto, a dificuldade de nomeação da questão racial e a ausência de dados consistentes produzem apagamentos que limitam a construção de práticas efetivamente antirracistas. Tal cenário convoca uma crítica às concepções universalizantes de infância que orientam as políticas públicas. Ao operar a partir da ideia de um sujeito universal, abstrato e supostamente neutro, tais políticas tendem a invisibilizar as especificidades das infâncias negras, indígenas, quilombolas, migrantes, ribeirinhas e periféricas. O resultado é a produção de novas formas de silenciamento e violação de direitos, uma vez que aquilo que escapa ao modelo dominante de infância frequentemente passa a ser interpretado como problema a ser corrigido.</w:t>
      </w:r>
    </w:p>
    <w:p w14:paraId="3E9D43AB" w14:textId="77777777" w:rsidR="009E6658" w:rsidRPr="00CE5700" w:rsidRDefault="009E6658" w:rsidP="009E6658">
      <w:pPr>
        <w:spacing w:after="160" w:line="360" w:lineRule="auto"/>
        <w:jc w:val="both"/>
      </w:pPr>
      <w:r w:rsidRPr="00CE5700">
        <w:t xml:space="preserve">Nesse contexto, </w:t>
      </w:r>
      <w:r>
        <w:t>utiliza-se</w:t>
      </w:r>
      <w:r w:rsidRPr="00CE5700">
        <w:t xml:space="preserve"> a noção de </w:t>
      </w:r>
      <w:proofErr w:type="spellStart"/>
      <w:r w:rsidRPr="00CE5700">
        <w:t>branqui</w:t>
      </w:r>
      <w:proofErr w:type="spellEnd"/>
      <w:r w:rsidRPr="00CE5700">
        <w:t>(e)</w:t>
      </w:r>
      <w:proofErr w:type="spellStart"/>
      <w:r w:rsidRPr="00CE5700">
        <w:t>tude</w:t>
      </w:r>
      <w:proofErr w:type="spellEnd"/>
      <w:r w:rsidRPr="00CE5700">
        <w:t xml:space="preserve"> como ferramenta crítica para compreender os modos silenciosos pelos quais privilégios raciais são mantidos sob a aparência da neutralidade. Articulada à categoria de inclusão subordinada, essa perspectiva permite compreender que o problema não reside na ausência de inserção dessas crianças na rede institucional, mas na forma pela qual essa inserção é produzida. Embora profundamente atravessadas pelas políticas públicas, permanecem frequentemente excluídas da produção das narrativas e saberes considerados legítimos sobre suas próprias experiências.</w:t>
      </w:r>
    </w:p>
    <w:p w14:paraId="3239CF63" w14:textId="77777777" w:rsidR="009E6658" w:rsidRPr="00CE5700" w:rsidRDefault="009E6658" w:rsidP="009E6658">
      <w:pPr>
        <w:spacing w:after="160" w:line="360" w:lineRule="auto"/>
        <w:jc w:val="both"/>
      </w:pPr>
      <w:r w:rsidRPr="00CE5700">
        <w:t xml:space="preserve">Em contraposição a essa lógica, a pesquisa identificou experiências nas quais adolescentes e jovens tornam-se produtores de memória, conhecimento e incidência política. A Associação Civil </w:t>
      </w:r>
      <w:proofErr w:type="spellStart"/>
      <w:r w:rsidRPr="00CE5700">
        <w:t>Doncel</w:t>
      </w:r>
      <w:proofErr w:type="spellEnd"/>
      <w:r w:rsidRPr="00CE5700">
        <w:t>, a Rede Latino-Americana de Egressos da Proteção e, especialmente, o Movimento Nacional Além do Acolhimento evidenciam que sujeitos historicamente posicionados como objetos de cuidado são capazes de formular diagnósticos, produzir análises e construir respostas para os problemas que os atravessam.</w:t>
      </w:r>
    </w:p>
    <w:p w14:paraId="6ED5E1C1" w14:textId="77777777" w:rsidR="009E6658" w:rsidRPr="00CE5700" w:rsidRDefault="009E6658" w:rsidP="009E6658">
      <w:pPr>
        <w:spacing w:after="160" w:line="360" w:lineRule="auto"/>
        <w:jc w:val="both"/>
      </w:pPr>
      <w:r w:rsidRPr="00CE5700">
        <w:lastRenderedPageBreak/>
        <w:t xml:space="preserve">No caso brasileiro, iniciativas como o encontro </w:t>
      </w:r>
      <w:r w:rsidRPr="00CE5700">
        <w:rPr>
          <w:i/>
          <w:iCs/>
        </w:rPr>
        <w:t>Minha Vida Fora do Acolhimento</w:t>
      </w:r>
      <w:r w:rsidRPr="00CE5700">
        <w:t xml:space="preserve"> e a elaboração da </w:t>
      </w:r>
      <w:r w:rsidRPr="00CE5700">
        <w:rPr>
          <w:i/>
          <w:iCs/>
        </w:rPr>
        <w:t>Declaração dos Jovens Egressos e em Transição de Cuidados Alternativos</w:t>
      </w:r>
      <w:r w:rsidRPr="00CE5700">
        <w:t xml:space="preserve"> demonstram que a experiência vivida pode se transformar em conhecimento coletivo e incidência política. Tal movimento dialoga diretamente com uma das premissas centrais deste </w:t>
      </w:r>
      <w:proofErr w:type="spellStart"/>
      <w:r w:rsidRPr="00CE5700">
        <w:t>conversatório</w:t>
      </w:r>
      <w:proofErr w:type="spellEnd"/>
      <w:r>
        <w:t>, já que parte</w:t>
      </w:r>
      <w:r w:rsidRPr="00CE5700">
        <w:t xml:space="preserve"> </w:t>
      </w:r>
      <w:r>
        <w:t xml:space="preserve">do </w:t>
      </w:r>
      <w:r w:rsidRPr="00CE5700">
        <w:t>reconhec</w:t>
      </w:r>
      <w:r>
        <w:t>imento</w:t>
      </w:r>
      <w:r w:rsidRPr="00CE5700">
        <w:t xml:space="preserve"> de crianças, adolescentes e jovens como sujeitos </w:t>
      </w:r>
      <w:r>
        <w:t>p</w:t>
      </w:r>
      <w:r w:rsidRPr="00CE5700">
        <w:t>olíticos e epistêmicos. Ao assumirem protagonismo na formulação e avaliação das políticas públicas, os jovens egressos deixam de ocupar o lugar de objetos de intervenção para se constituírem como produtores de conhecimento sobre o próprio sistema de proteção. Trata-se de uma prática decolonial concreta que desloca a autoridade de fala das instituições para aqueles que historicamente foram falados por elas.</w:t>
      </w:r>
    </w:p>
    <w:p w14:paraId="1E428C52" w14:textId="77777777" w:rsidR="009E6658" w:rsidRPr="00CE5700" w:rsidRDefault="009E6658" w:rsidP="009E6658">
      <w:pPr>
        <w:spacing w:after="160" w:line="360" w:lineRule="auto"/>
        <w:jc w:val="both"/>
      </w:pPr>
      <w:r w:rsidRPr="00CE5700">
        <w:t xml:space="preserve">Os achados da pesquisa permitem ainda pensar desdobramentos para os campos da educação e da assistência social. Ao reconhecer crianças, adolescentes e jovens como sujeitos epistêmicos, torna-se possível construir práticas pedagógicas e institucionais que valorizem suas próprias formas de narrar e elaborar a experiência. Nesse sentido, o RAP, os </w:t>
      </w:r>
      <w:proofErr w:type="spellStart"/>
      <w:r w:rsidRPr="00CE5700">
        <w:t>itans</w:t>
      </w:r>
      <w:proofErr w:type="spellEnd"/>
      <w:r w:rsidRPr="00CE5700">
        <w:t>, o samba e outras produções culturais negras podem operar como ferramentas artístico-pedagógicas de produção de memória, escuta e participação nos espaços escolares e nos serviços de acolhimento, contribuindo para romper formas cotidianas de silenciamento institucional.</w:t>
      </w:r>
    </w:p>
    <w:p w14:paraId="7A0DEC25" w14:textId="77777777" w:rsidR="009E6658" w:rsidRPr="00CE5700" w:rsidRDefault="009E6658" w:rsidP="009E6658">
      <w:pPr>
        <w:spacing w:after="160" w:line="360" w:lineRule="auto"/>
        <w:jc w:val="both"/>
      </w:pPr>
      <w:r w:rsidRPr="00CE5700">
        <w:t>Conclui-se que o acolhimento institucional, quando analisado à luz da colonialidade, do racismo estrutural e das produções juvenis de conhecimento, revela simultaneamente mecanismos de proteção e processos de silenciamento. Diante desse cenário, torna-se fundamental construir práticas antirracistas e decoloniais capazes de reposicionar crianças, adolescentes e jovens como sujeitos epistêmicos, políticos e narrativos. Escutar suas vozes não constitui apenas uma estratégia metodológica, mas uma exigência ética para a construção de uma sociedade comprometida com a equidade, a justiça social e o bem viver.</w:t>
      </w:r>
    </w:p>
    <w:p w14:paraId="7B77A270" w14:textId="77777777" w:rsidR="00A44E8B" w:rsidRDefault="00000000">
      <w:pPr>
        <w:keepLines/>
        <w:widowControl w:val="0"/>
        <w:spacing w:before="240" w:after="240" w:line="360" w:lineRule="auto"/>
        <w:ind w:right="4"/>
        <w:jc w:val="both"/>
        <w:rPr>
          <w:b/>
          <w:bCs/>
          <w:sz w:val="24"/>
          <w:szCs w:val="24"/>
        </w:rPr>
      </w:pPr>
      <w:r>
        <w:rPr>
          <w:b/>
          <w:bCs/>
          <w:sz w:val="24"/>
          <w:szCs w:val="24"/>
        </w:rPr>
        <w:t>PALAVRAS-CHAVE</w:t>
      </w:r>
    </w:p>
    <w:p w14:paraId="1485373F" w14:textId="1D6A11EA" w:rsidR="0043792A" w:rsidRPr="0043792A" w:rsidRDefault="0043792A" w:rsidP="0043792A">
      <w:pPr>
        <w:spacing w:after="160" w:line="360" w:lineRule="auto"/>
        <w:jc w:val="both"/>
        <w:rPr>
          <w:sz w:val="24"/>
          <w:szCs w:val="24"/>
        </w:rPr>
      </w:pPr>
      <w:r>
        <w:rPr>
          <w:sz w:val="24"/>
          <w:szCs w:val="24"/>
        </w:rPr>
        <w:t>I</w:t>
      </w:r>
      <w:r w:rsidRPr="0043792A">
        <w:rPr>
          <w:sz w:val="24"/>
          <w:szCs w:val="24"/>
        </w:rPr>
        <w:t xml:space="preserve">nfâncias; </w:t>
      </w:r>
      <w:r w:rsidR="003A0CF6">
        <w:rPr>
          <w:sz w:val="24"/>
          <w:szCs w:val="24"/>
        </w:rPr>
        <w:t>A</w:t>
      </w:r>
      <w:r w:rsidRPr="0043792A">
        <w:rPr>
          <w:sz w:val="24"/>
          <w:szCs w:val="24"/>
        </w:rPr>
        <w:t xml:space="preserve">colhimento </w:t>
      </w:r>
      <w:r w:rsidR="003A0CF6">
        <w:rPr>
          <w:sz w:val="24"/>
          <w:szCs w:val="24"/>
        </w:rPr>
        <w:t>I</w:t>
      </w:r>
      <w:r w:rsidRPr="0043792A">
        <w:rPr>
          <w:sz w:val="24"/>
          <w:szCs w:val="24"/>
        </w:rPr>
        <w:t xml:space="preserve">nstitucional; </w:t>
      </w:r>
      <w:r w:rsidR="003A0CF6">
        <w:rPr>
          <w:sz w:val="24"/>
          <w:szCs w:val="24"/>
        </w:rPr>
        <w:t>P</w:t>
      </w:r>
      <w:r w:rsidRPr="0043792A">
        <w:rPr>
          <w:sz w:val="24"/>
          <w:szCs w:val="24"/>
        </w:rPr>
        <w:t xml:space="preserve">rotagonismo </w:t>
      </w:r>
      <w:r w:rsidR="003A0CF6">
        <w:rPr>
          <w:sz w:val="24"/>
          <w:szCs w:val="24"/>
        </w:rPr>
        <w:t>J</w:t>
      </w:r>
      <w:r w:rsidRPr="0043792A">
        <w:rPr>
          <w:sz w:val="24"/>
          <w:szCs w:val="24"/>
        </w:rPr>
        <w:t xml:space="preserve">uvenil; </w:t>
      </w:r>
      <w:r w:rsidR="003A0CF6">
        <w:rPr>
          <w:sz w:val="24"/>
          <w:szCs w:val="24"/>
        </w:rPr>
        <w:t>R</w:t>
      </w:r>
      <w:r w:rsidRPr="0043792A">
        <w:rPr>
          <w:sz w:val="24"/>
          <w:szCs w:val="24"/>
        </w:rPr>
        <w:t>acismo.</w:t>
      </w:r>
    </w:p>
    <w:p w14:paraId="7CFFD1FA" w14:textId="77777777" w:rsidR="00A44E8B" w:rsidRDefault="00000000" w:rsidP="00943488">
      <w:pPr>
        <w:keepLines/>
        <w:widowControl w:val="0"/>
        <w:spacing w:line="360" w:lineRule="auto"/>
        <w:ind w:right="4"/>
        <w:rPr>
          <w:sz w:val="24"/>
          <w:szCs w:val="24"/>
        </w:rPr>
      </w:pPr>
      <w:r>
        <w:rPr>
          <w:b/>
          <w:bCs/>
          <w:sz w:val="24"/>
          <w:szCs w:val="24"/>
        </w:rPr>
        <w:t>REFERÊNCIAS</w:t>
      </w:r>
      <w:r>
        <w:rPr>
          <w:sz w:val="24"/>
          <w:szCs w:val="24"/>
        </w:rPr>
        <w:t xml:space="preserve"> </w:t>
      </w:r>
    </w:p>
    <w:p w14:paraId="57A14775" w14:textId="77777777" w:rsidR="00BB2017" w:rsidRPr="00BB2017" w:rsidRDefault="00BB2017" w:rsidP="00943488">
      <w:pPr>
        <w:spacing w:before="240" w:line="360" w:lineRule="auto"/>
        <w:jc w:val="both"/>
        <w:rPr>
          <w:sz w:val="24"/>
          <w:szCs w:val="24"/>
        </w:rPr>
      </w:pPr>
      <w:r w:rsidRPr="00BB2017">
        <w:rPr>
          <w:sz w:val="24"/>
          <w:szCs w:val="24"/>
        </w:rPr>
        <w:t xml:space="preserve">BENTO, Cida. </w:t>
      </w:r>
      <w:r w:rsidRPr="00BB2017">
        <w:rPr>
          <w:i/>
          <w:iCs/>
          <w:sz w:val="24"/>
          <w:szCs w:val="24"/>
        </w:rPr>
        <w:t>O pacto da branquitude</w:t>
      </w:r>
      <w:r w:rsidRPr="00BB2017">
        <w:rPr>
          <w:sz w:val="24"/>
          <w:szCs w:val="24"/>
        </w:rPr>
        <w:t>. Rio de Janeiro: Companhia das Letras, 2022.</w:t>
      </w:r>
    </w:p>
    <w:p w14:paraId="5B8B0C03" w14:textId="77777777" w:rsidR="00943488" w:rsidRPr="00BB2017" w:rsidRDefault="00943488" w:rsidP="00943488">
      <w:pPr>
        <w:spacing w:before="240" w:after="160" w:line="360" w:lineRule="auto"/>
        <w:jc w:val="both"/>
        <w:rPr>
          <w:sz w:val="24"/>
          <w:szCs w:val="24"/>
        </w:rPr>
      </w:pPr>
      <w:r w:rsidRPr="00BB2017">
        <w:rPr>
          <w:sz w:val="24"/>
          <w:szCs w:val="24"/>
        </w:rPr>
        <w:t xml:space="preserve">BORGES, Michele Donizete Ferreira. </w:t>
      </w:r>
      <w:r w:rsidRPr="00BB2017">
        <w:rPr>
          <w:i/>
          <w:iCs/>
          <w:sz w:val="24"/>
          <w:szCs w:val="24"/>
        </w:rPr>
        <w:t xml:space="preserve">A abolição acontece todos os dias: a herança da </w:t>
      </w:r>
      <w:proofErr w:type="spellStart"/>
      <w:r w:rsidRPr="00BB2017">
        <w:rPr>
          <w:i/>
          <w:iCs/>
          <w:sz w:val="24"/>
          <w:szCs w:val="24"/>
        </w:rPr>
        <w:t>branqui</w:t>
      </w:r>
      <w:proofErr w:type="spellEnd"/>
      <w:r w:rsidRPr="00BB2017">
        <w:rPr>
          <w:i/>
          <w:iCs/>
          <w:sz w:val="24"/>
          <w:szCs w:val="24"/>
        </w:rPr>
        <w:t>(e)</w:t>
      </w:r>
      <w:proofErr w:type="spellStart"/>
      <w:r w:rsidRPr="00BB2017">
        <w:rPr>
          <w:i/>
          <w:iCs/>
          <w:sz w:val="24"/>
          <w:szCs w:val="24"/>
        </w:rPr>
        <w:t>tude</w:t>
      </w:r>
      <w:proofErr w:type="spellEnd"/>
      <w:r w:rsidRPr="00BB2017">
        <w:rPr>
          <w:i/>
          <w:iCs/>
          <w:sz w:val="24"/>
          <w:szCs w:val="24"/>
        </w:rPr>
        <w:t xml:space="preserve"> na repetição estrutural do desacolhimento institucional</w:t>
      </w:r>
      <w:r w:rsidRPr="00BB2017">
        <w:rPr>
          <w:sz w:val="24"/>
          <w:szCs w:val="24"/>
        </w:rPr>
        <w:t xml:space="preserve">. 2026. Tese </w:t>
      </w:r>
      <w:r w:rsidRPr="00BB2017">
        <w:rPr>
          <w:sz w:val="24"/>
          <w:szCs w:val="24"/>
        </w:rPr>
        <w:lastRenderedPageBreak/>
        <w:t>(Doutorado em Psicologia Social) – Pontifícia Universidade Católica de São Paulo, São Paulo, 2026.</w:t>
      </w:r>
    </w:p>
    <w:p w14:paraId="5095D0D0" w14:textId="7587403B" w:rsidR="00BB2017" w:rsidRPr="00BB2017" w:rsidRDefault="00BB2017" w:rsidP="00943488">
      <w:pPr>
        <w:spacing w:before="240" w:after="160" w:line="360" w:lineRule="auto"/>
        <w:jc w:val="both"/>
        <w:rPr>
          <w:sz w:val="24"/>
          <w:szCs w:val="24"/>
        </w:rPr>
      </w:pPr>
      <w:r w:rsidRPr="00BB2017">
        <w:rPr>
          <w:sz w:val="24"/>
          <w:szCs w:val="24"/>
        </w:rPr>
        <w:t xml:space="preserve">DJONGA. </w:t>
      </w:r>
      <w:r w:rsidRPr="00BB2017">
        <w:rPr>
          <w:i/>
          <w:iCs/>
          <w:sz w:val="24"/>
          <w:szCs w:val="24"/>
        </w:rPr>
        <w:t>Heresia</w:t>
      </w:r>
      <w:r w:rsidRPr="00BB2017">
        <w:rPr>
          <w:sz w:val="24"/>
          <w:szCs w:val="24"/>
        </w:rPr>
        <w:t>. Belo Horizonte: Ceia Ent., 2017.</w:t>
      </w:r>
    </w:p>
    <w:p w14:paraId="1E788EA9" w14:textId="77777777" w:rsidR="00BB2017" w:rsidRPr="00BB2017" w:rsidRDefault="00BB2017" w:rsidP="00943488">
      <w:pPr>
        <w:spacing w:before="240" w:after="160" w:line="360" w:lineRule="auto"/>
        <w:jc w:val="both"/>
        <w:rPr>
          <w:sz w:val="24"/>
          <w:szCs w:val="24"/>
        </w:rPr>
      </w:pPr>
      <w:r w:rsidRPr="00BB2017">
        <w:rPr>
          <w:sz w:val="24"/>
          <w:szCs w:val="24"/>
        </w:rPr>
        <w:t xml:space="preserve">GONZALEZ, Lélia. </w:t>
      </w:r>
      <w:r w:rsidRPr="00BB2017">
        <w:rPr>
          <w:i/>
          <w:iCs/>
          <w:sz w:val="24"/>
          <w:szCs w:val="24"/>
        </w:rPr>
        <w:t>Por um feminismo afro-latino-americano: ensaios, intervenções e diálogos</w:t>
      </w:r>
      <w:r w:rsidRPr="00BB2017">
        <w:rPr>
          <w:sz w:val="24"/>
          <w:szCs w:val="24"/>
        </w:rPr>
        <w:t>. Rio de Janeiro: Zahar, 2020.</w:t>
      </w:r>
    </w:p>
    <w:p w14:paraId="1205ADBB" w14:textId="77777777" w:rsidR="00BB2017" w:rsidRPr="00BB2017" w:rsidRDefault="00BB2017" w:rsidP="00943488">
      <w:pPr>
        <w:spacing w:before="240" w:line="360" w:lineRule="auto"/>
        <w:jc w:val="both"/>
        <w:rPr>
          <w:sz w:val="24"/>
          <w:szCs w:val="24"/>
        </w:rPr>
      </w:pPr>
      <w:r w:rsidRPr="00BB2017">
        <w:rPr>
          <w:sz w:val="24"/>
          <w:szCs w:val="24"/>
        </w:rPr>
        <w:t xml:space="preserve">NASCIMENTO, Abdias. </w:t>
      </w:r>
      <w:r w:rsidRPr="00BB2017">
        <w:rPr>
          <w:i/>
          <w:iCs/>
          <w:sz w:val="24"/>
          <w:szCs w:val="24"/>
        </w:rPr>
        <w:t>O genocídio do negro brasileiro: processo de um racismo mascarado</w:t>
      </w:r>
      <w:r w:rsidRPr="00BB2017">
        <w:rPr>
          <w:sz w:val="24"/>
          <w:szCs w:val="24"/>
        </w:rPr>
        <w:t>. 4. ed. São Paulo: Perspectiva, 2019.</w:t>
      </w:r>
    </w:p>
    <w:p w14:paraId="72516C5C" w14:textId="77777777" w:rsidR="00BB2017" w:rsidRPr="00BB2017" w:rsidRDefault="00BB2017" w:rsidP="00943488">
      <w:pPr>
        <w:spacing w:before="240" w:after="160" w:line="360" w:lineRule="auto"/>
        <w:jc w:val="both"/>
        <w:rPr>
          <w:sz w:val="24"/>
          <w:szCs w:val="24"/>
        </w:rPr>
      </w:pPr>
      <w:r w:rsidRPr="00BB2017">
        <w:rPr>
          <w:sz w:val="24"/>
          <w:szCs w:val="24"/>
        </w:rPr>
        <w:t xml:space="preserve">NOGUEIRA, Isildinha Baptista. </w:t>
      </w:r>
      <w:r w:rsidRPr="00BB2017">
        <w:rPr>
          <w:i/>
          <w:iCs/>
          <w:sz w:val="24"/>
          <w:szCs w:val="24"/>
        </w:rPr>
        <w:t>A cor do inconsciente: significações do corpo negro</w:t>
      </w:r>
      <w:r w:rsidRPr="00BB2017">
        <w:rPr>
          <w:sz w:val="24"/>
          <w:szCs w:val="24"/>
        </w:rPr>
        <w:t>. São Paulo: Perspectiva, 2021.</w:t>
      </w:r>
    </w:p>
    <w:p w14:paraId="38B701BB" w14:textId="77777777" w:rsidR="00BB2017" w:rsidRPr="00BB2017" w:rsidRDefault="00BB2017" w:rsidP="00943488">
      <w:pPr>
        <w:spacing w:before="240" w:after="160" w:line="360" w:lineRule="auto"/>
        <w:jc w:val="both"/>
        <w:rPr>
          <w:sz w:val="24"/>
          <w:szCs w:val="24"/>
        </w:rPr>
      </w:pPr>
      <w:r w:rsidRPr="00BB2017">
        <w:rPr>
          <w:sz w:val="24"/>
          <w:szCs w:val="24"/>
        </w:rPr>
        <w:t xml:space="preserve">SANTOS, Milton. </w:t>
      </w:r>
      <w:r w:rsidRPr="00BB2017">
        <w:rPr>
          <w:i/>
          <w:iCs/>
          <w:sz w:val="24"/>
          <w:szCs w:val="24"/>
        </w:rPr>
        <w:t>O espaço do cidadão</w:t>
      </w:r>
      <w:r w:rsidRPr="00BB2017">
        <w:rPr>
          <w:sz w:val="24"/>
          <w:szCs w:val="24"/>
        </w:rPr>
        <w:t>. 7. ed. São Paulo: Nobel, 2007.</w:t>
      </w:r>
    </w:p>
    <w:p w14:paraId="65578797" w14:textId="74B179F9" w:rsidR="00A44E8B" w:rsidRDefault="00A44E8B" w:rsidP="00BB2017">
      <w:pPr>
        <w:keepLines/>
        <w:widowControl w:val="0"/>
        <w:spacing w:before="240" w:after="240" w:line="240" w:lineRule="auto"/>
        <w:ind w:right="4"/>
        <w:rPr>
          <w:b/>
          <w:bCs/>
          <w:sz w:val="24"/>
          <w:szCs w:val="24"/>
        </w:rPr>
      </w:pPr>
    </w:p>
    <w:sectPr w:rsidR="00A44E8B">
      <w:headerReference w:type="default" r:id="rId8"/>
      <w:footerReference w:type="default" r:id="rId9"/>
      <w:headerReference w:type="first" r:id="rId10"/>
      <w:footerReference w:type="first" r:id="rId11"/>
      <w:pgSz w:w="11909" w:h="16834"/>
      <w:pgMar w:top="1440" w:right="140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3C784" w14:textId="77777777" w:rsidR="00382097" w:rsidRDefault="00382097">
      <w:pPr>
        <w:spacing w:line="240" w:lineRule="auto"/>
      </w:pPr>
      <w:r>
        <w:separator/>
      </w:r>
    </w:p>
  </w:endnote>
  <w:endnote w:type="continuationSeparator" w:id="0">
    <w:p w14:paraId="073595E0" w14:textId="77777777" w:rsidR="00382097" w:rsidRDefault="003820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7AC9F1-13AC-4102-805A-372FF90ED3F3}"/>
  </w:font>
  <w:font w:name="Cambria">
    <w:panose1 w:val="02040503050406030204"/>
    <w:charset w:val="00"/>
    <w:family w:val="roman"/>
    <w:pitch w:val="variable"/>
    <w:sig w:usb0="E00006FF" w:usb1="420024FF" w:usb2="02000000" w:usb3="00000000" w:csb0="0000019F" w:csb1="00000000"/>
    <w:embedRegular r:id="rId2" w:fontKey="{2255A797-5BE7-4240-91B7-E854B1854D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8708" w14:textId="77777777" w:rsidR="00A44E8B" w:rsidRDefault="00000000">
    <w:pPr>
      <w:jc w:val="center"/>
    </w:pPr>
    <w:r>
      <w:fldChar w:fldCharType="begin"/>
    </w:r>
    <w:r>
      <w:instrText>PAGE</w:instrText>
    </w:r>
    <w:r>
      <w:fldChar w:fldCharType="separate"/>
    </w:r>
    <w:r w:rsidR="002D2BD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5612" w14:textId="77777777" w:rsidR="00A44E8B" w:rsidRDefault="00A44E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DF97F" w14:textId="77777777" w:rsidR="00382097" w:rsidRDefault="00382097">
      <w:pPr>
        <w:spacing w:line="240" w:lineRule="auto"/>
      </w:pPr>
      <w:r>
        <w:separator/>
      </w:r>
    </w:p>
  </w:footnote>
  <w:footnote w:type="continuationSeparator" w:id="0">
    <w:p w14:paraId="29A2FC7F" w14:textId="77777777" w:rsidR="00382097" w:rsidRDefault="003820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F681" w14:textId="77777777" w:rsidR="00A44E8B" w:rsidRDefault="00000000">
    <w:pPr>
      <w:jc w:val="right"/>
    </w:pPr>
    <w:r>
      <w:rPr>
        <w:noProof/>
      </w:rPr>
      <w:drawing>
        <wp:anchor distT="0" distB="0" distL="0" distR="0" simplePos="0" relativeHeight="251658240" behindDoc="1" locked="0" layoutInCell="1" hidden="0" allowOverlap="1" wp14:anchorId="3ECEC6A8" wp14:editId="1DA7F8B2">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0" distB="0" distL="0" distR="0" simplePos="0" relativeHeight="251659264" behindDoc="1" locked="0" layoutInCell="1" hidden="0" allowOverlap="1" wp14:anchorId="4FFC7A16" wp14:editId="23E48B64">
          <wp:simplePos x="0" y="0"/>
          <wp:positionH relativeFrom="column">
            <wp:posOffset>5791200</wp:posOffset>
          </wp:positionH>
          <wp:positionV relativeFrom="paragraph">
            <wp:posOffset>-304798</wp:posOffset>
          </wp:positionV>
          <wp:extent cx="664882" cy="7620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2587361" w14:textId="77777777" w:rsidR="00A44E8B" w:rsidRDefault="00A44E8B">
    <w:pPr>
      <w:jc w:val="right"/>
    </w:pPr>
  </w:p>
  <w:p w14:paraId="064F12C8" w14:textId="77777777" w:rsidR="00A44E8B" w:rsidRDefault="00A44E8B">
    <w:pPr>
      <w:jc w:val="right"/>
    </w:pPr>
  </w:p>
  <w:p w14:paraId="229028CC" w14:textId="77777777" w:rsidR="00A44E8B" w:rsidRDefault="00000000">
    <w:r>
      <w:rPr>
        <w:noProof/>
      </w:rPr>
      <w:drawing>
        <wp:anchor distT="0" distB="0" distL="0" distR="0" simplePos="0" relativeHeight="251660288" behindDoc="1" locked="0" layoutInCell="1" hidden="0" allowOverlap="1" wp14:anchorId="11C4364D" wp14:editId="2F63D994">
          <wp:simplePos x="0" y="0"/>
          <wp:positionH relativeFrom="page">
            <wp:posOffset>0</wp:posOffset>
          </wp:positionH>
          <wp:positionV relativeFrom="page">
            <wp:posOffset>-5713</wp:posOffset>
          </wp:positionV>
          <wp:extent cx="416339" cy="10716578"/>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6EC6" w14:textId="77777777" w:rsidR="00A44E8B" w:rsidRDefault="00A44E8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E8B"/>
    <w:rsid w:val="002D2BD2"/>
    <w:rsid w:val="00382097"/>
    <w:rsid w:val="003A0CF6"/>
    <w:rsid w:val="0043792A"/>
    <w:rsid w:val="007106EB"/>
    <w:rsid w:val="007670D3"/>
    <w:rsid w:val="009335AE"/>
    <w:rsid w:val="00943488"/>
    <w:rsid w:val="009E6658"/>
    <w:rsid w:val="00A20A9A"/>
    <w:rsid w:val="00A25CDB"/>
    <w:rsid w:val="00A44E8B"/>
    <w:rsid w:val="00B5705F"/>
    <w:rsid w:val="00BB2017"/>
    <w:rsid w:val="00C3112E"/>
    <w:rsid w:val="00F21F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C69E6"/>
  <w15:docId w15:val="{EF8EF066-041D-4195-9568-F9919AC1C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9E6658"/>
    <w:rPr>
      <w:color w:val="0000FF" w:themeColor="hyperlink"/>
      <w:u w:val="single"/>
    </w:rPr>
  </w:style>
  <w:style w:type="character" w:styleId="MenoPendente">
    <w:name w:val="Unresolved Mention"/>
    <w:basedOn w:val="Fontepargpadro"/>
    <w:uiPriority w:val="99"/>
    <w:semiHidden/>
    <w:unhideWhenUsed/>
    <w:rsid w:val="009E6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icheledfborges@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YBJFnuy0T+tzRMBI9IdZp5Id4Q==">CgMxLjA4AHIhMXFlZFVlX3JxU0NsclJxR29WS1RrNzBVSWprSmF3WmNT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1296</Words>
  <Characters>6999</Characters>
  <Application>Microsoft Office Word</Application>
  <DocSecurity>0</DocSecurity>
  <Lines>58</Lines>
  <Paragraphs>16</Paragraphs>
  <ScaleCrop>false</ScaleCrop>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Michele Borges</cp:lastModifiedBy>
  <cp:revision>14</cp:revision>
  <dcterms:created xsi:type="dcterms:W3CDTF">2026-08-16T16:55:00Z</dcterms:created>
  <dcterms:modified xsi:type="dcterms:W3CDTF">2026-08-16T17:04:00Z</dcterms:modified>
</cp:coreProperties>
</file>