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widowControl w:val="false"/>
        <w:spacing w:lineRule="auto" w:line="240"/>
        <w:jc w:val="center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CONVERSATÓRIO 15 - GÊNERO, RAÇA E SEXUALIDADE NA EDUCAÇÃO: INTERSECCIONALIDADES, TERRITÓRIOS DE (RE)EXISTÊNCIA E PEDAGOGIAS DESOBEDIENTES</w:t>
      </w:r>
    </w:p>
    <w:p>
      <w:pPr>
        <w:pStyle w:val="normal1"/>
        <w:keepLines/>
        <w:widowControl w:val="false"/>
        <w:spacing w:lineRule="auto" w:line="24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1"/>
        <w:keepLines/>
        <w:widowControl w:val="false"/>
        <w:spacing w:lineRule="auto" w:line="240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</w:r>
    </w:p>
    <w:p>
      <w:pPr>
        <w:pStyle w:val="normal1"/>
        <w:keepLines/>
        <w:widowControl w:val="false"/>
        <w:spacing w:lineRule="auto" w:line="240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</w:r>
    </w:p>
    <w:p>
      <w:pPr>
        <w:pStyle w:val="normal1"/>
        <w:keepLines/>
        <w:widowControl w:val="false"/>
        <w:spacing w:lineRule="auto" w:line="240"/>
        <w:jc w:val="center"/>
        <w:rPr/>
      </w:pPr>
      <w:r>
        <w:rPr>
          <w:rFonts w:ascii="Arial" w:hAnsi="Arial"/>
          <w:b/>
          <w:bCs/>
          <w:sz w:val="24"/>
          <w:szCs w:val="24"/>
        </w:rPr>
        <w:t xml:space="preserve"> </w:t>
      </w:r>
      <w:r>
        <w:rPr>
          <w:rFonts w:ascii="Arial" w:hAnsi="Arial"/>
          <w:b/>
          <w:bCs/>
          <w:sz w:val="24"/>
          <w:szCs w:val="24"/>
        </w:rPr>
        <w:t>“</w:t>
      </w:r>
      <w:r>
        <w:rPr>
          <w:rStyle w:val="Strong"/>
          <w:rFonts w:ascii="Arial" w:hAnsi="Arial"/>
          <w:b/>
          <w:bCs/>
          <w:sz w:val="24"/>
          <w:szCs w:val="24"/>
        </w:rPr>
        <w:t>SOU UMA, MAS NÃO SOU SÓ”: PRÁTICAS CORPORAIS, PARTICIPAÇÃO POLÍTICA E A CONSTRUÇÃO COLETIVA DO CUIDADO NO PROGRAMA MULHERES EM MOVIMENTO</w:t>
      </w:r>
    </w:p>
    <w:p>
      <w:pPr>
        <w:pStyle w:val="normal1"/>
        <w:keepLines/>
        <w:widowControl w:val="false"/>
        <w:spacing w:lineRule="auto" w:line="240"/>
        <w:jc w:val="center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1"/>
        <w:keepLines/>
        <w:widowControl w:val="false"/>
        <w:spacing w:lineRule="auto" w:line="24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1"/>
        <w:keepLines/>
        <w:widowControl w:val="false"/>
        <w:spacing w:lineRule="auto" w:line="240"/>
        <w:jc w:val="end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1"/>
        <w:keepLines/>
        <w:widowControl w:val="false"/>
        <w:spacing w:lineRule="auto" w:line="240"/>
        <w:jc w:val="end"/>
        <w:rPr>
          <w:rFonts w:ascii="Arial" w:hAnsi="Arial"/>
        </w:rPr>
      </w:pPr>
      <w:r>
        <w:rPr>
          <w:rFonts w:ascii="Arial" w:hAnsi="Arial"/>
          <w:sz w:val="24"/>
          <w:szCs w:val="24"/>
        </w:rPr>
        <w:t>Celeste Pastro Botoni</w:t>
      </w:r>
      <w:r>
        <w:rPr>
          <w:rFonts w:ascii="Arial" w:hAnsi="Arial"/>
          <w:sz w:val="24"/>
          <w:szCs w:val="24"/>
        </w:rPr>
        <w:t xml:space="preserve">, </w:t>
      </w:r>
      <w:r>
        <w:rPr>
          <w:rFonts w:ascii="Arial" w:hAnsi="Arial"/>
          <w:sz w:val="24"/>
          <w:szCs w:val="24"/>
        </w:rPr>
        <w:t>EACH - USP</w:t>
      </w:r>
      <w:r>
        <w:rPr>
          <w:rFonts w:ascii="Arial" w:hAnsi="Arial"/>
          <w:sz w:val="24"/>
          <w:szCs w:val="24"/>
        </w:rPr>
        <w:t xml:space="preserve">, </w:t>
      </w:r>
      <w:r>
        <w:rPr>
          <w:rFonts w:ascii="Arial" w:hAnsi="Arial"/>
          <w:sz w:val="24"/>
          <w:szCs w:val="24"/>
        </w:rPr>
        <w:t>celestebotoni@usp.br</w:t>
      </w:r>
    </w:p>
    <w:p>
      <w:pPr>
        <w:pStyle w:val="normal1"/>
        <w:keepLines/>
        <w:widowControl w:val="false"/>
        <w:spacing w:lineRule="auto" w:line="240"/>
        <w:jc w:val="end"/>
        <w:rPr>
          <w:rFonts w:ascii="Arial" w:hAnsi="Arial"/>
        </w:rPr>
      </w:pPr>
      <w:r>
        <w:rPr>
          <w:rFonts w:ascii="Arial" w:hAnsi="Arial"/>
          <w:sz w:val="24"/>
          <w:szCs w:val="24"/>
        </w:rPr>
        <w:t xml:space="preserve">Mariana Harumi Cruz Tsukamoto, </w:t>
      </w:r>
      <w:r>
        <w:rPr>
          <w:rFonts w:ascii="Arial" w:hAnsi="Arial"/>
          <w:sz w:val="24"/>
          <w:szCs w:val="24"/>
        </w:rPr>
        <w:t>EACH - USP</w:t>
      </w:r>
      <w:r>
        <w:rPr>
          <w:rFonts w:ascii="Arial" w:hAnsi="Arial"/>
          <w:sz w:val="24"/>
          <w:szCs w:val="24"/>
        </w:rPr>
        <w:t xml:space="preserve">, </w:t>
      </w:r>
      <w:r>
        <w:rPr>
          <w:rFonts w:ascii="Arial" w:hAnsi="Arial"/>
          <w:sz w:val="24"/>
          <w:szCs w:val="24"/>
        </w:rPr>
        <w:t>maharumi@usp.br</w:t>
      </w:r>
    </w:p>
    <w:p>
      <w:pPr>
        <w:pStyle w:val="normal1"/>
        <w:keepLines/>
        <w:widowControl w:val="false"/>
        <w:spacing w:lineRule="auto" w:line="240"/>
        <w:jc w:val="end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1"/>
        <w:keepLines/>
        <w:widowControl w:val="false"/>
        <w:spacing w:lineRule="auto" w:line="360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</w:r>
    </w:p>
    <w:p>
      <w:pPr>
        <w:pStyle w:val="normal1"/>
        <w:keepLines/>
        <w:widowControl w:val="false"/>
        <w:spacing w:lineRule="auto" w:line="360"/>
        <w:jc w:val="both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RESUMO</w:t>
      </w:r>
    </w:p>
    <w:p>
      <w:pPr>
        <w:pStyle w:val="normal1"/>
        <w:keepLines/>
        <w:widowControl w:val="false"/>
        <w:spacing w:lineRule="auto" w:line="360"/>
        <w:jc w:val="both"/>
        <w:rPr/>
      </w:pPr>
      <w:r>
        <w:rPr>
          <w:rFonts w:ascii="Arial" w:hAnsi="Arial"/>
          <w:b w:val="false"/>
          <w:bCs w:val="false"/>
          <w:sz w:val="24"/>
          <w:szCs w:val="24"/>
        </w:rPr>
        <w:t xml:space="preserve">Este ensaio nasce do diálogo entre minha experiência no Programa Mulheres em Movimento (PMM), do qual participo como professora desde 2009 e que constitui objeto da minha pesquisa de mestrado, e as reflexões de Audre Lorde, bell hooks, Enrique Dussel e Oyèrónkẹ́ Oyěwùmí. </w:t>
      </w:r>
      <w:r>
        <w:rPr>
          <w:rStyle w:val="Strong"/>
          <w:rFonts w:ascii="Arial" w:hAnsi="Arial"/>
          <w:b w:val="false"/>
          <w:bCs w:val="false"/>
          <w:sz w:val="24"/>
          <w:szCs w:val="24"/>
        </w:rPr>
        <w:t>A partir das inquietações da prática cotidiana, reflito sobre práticas corporais, produção de saberes e participação política, reconhecendo que a experiência não apenas dialoga com as teorias, mas também as tensiona e produz novos sentidos.</w:t>
      </w:r>
    </w:p>
    <w:p>
      <w:pPr>
        <w:pStyle w:val="normal1"/>
        <w:keepLines/>
        <w:widowControl w:val="false"/>
        <w:spacing w:lineRule="auto" w:line="36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O PMM </w:t>
      </w:r>
      <w:r>
        <w:rPr>
          <w:rFonts w:ascii="Arial" w:hAnsi="Arial"/>
          <w:sz w:val="24"/>
          <w:szCs w:val="24"/>
        </w:rPr>
        <w:t xml:space="preserve">nascido em 1989 </w:t>
      </w:r>
      <w:r>
        <w:rPr>
          <w:rFonts w:ascii="Arial" w:hAnsi="Arial"/>
          <w:sz w:val="24"/>
          <w:szCs w:val="24"/>
        </w:rPr>
        <w:t>é uma política pública da Secretaria de Esporte e Lazer de Diadema, voltada prioritariamente às mulheres. Desenvolve práticas corporais</w:t>
      </w:r>
      <w:r>
        <w:rPr>
          <w:rStyle w:val="FootnoteReference"/>
          <w:rFonts w:ascii="Arial" w:hAnsi="Arial"/>
          <w:sz w:val="24"/>
          <w:szCs w:val="24"/>
        </w:rPr>
        <w:footnoteReference w:id="2"/>
      </w:r>
      <w:r>
        <w:rPr>
          <w:rFonts w:ascii="Arial" w:hAnsi="Arial"/>
          <w:sz w:val="24"/>
          <w:szCs w:val="24"/>
        </w:rPr>
        <w:t xml:space="preserve"> no campo do lazer a partir de três eixos — gênero, pertencimento de grupo e saúde da mulher —, articulando aulas regulares, encontros temáticos, projetos culturais, passeios e espaços de participação coletiva. Atualmente, reúne aproximadamente 2.200 participantes.</w:t>
      </w:r>
    </w:p>
    <w:p>
      <w:pPr>
        <w:pStyle w:val="normal1"/>
        <w:widowControl w:val="false"/>
        <w:spacing w:lineRule="auto" w:line="36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Ao longo desses anos, percebi que as mulheres não permanecem no PMM apenas pela atividade física. Muitas frequentam o programa há décadas e participam de ações </w:t>
      </w:r>
      <w:r>
        <w:rPr>
          <w:rFonts w:ascii="Arial" w:hAnsi="Arial"/>
          <w:sz w:val="24"/>
          <w:szCs w:val="24"/>
        </w:rPr>
        <w:t xml:space="preserve">váriadas </w:t>
      </w:r>
      <w:r>
        <w:rPr>
          <w:rFonts w:ascii="Arial" w:hAnsi="Arial"/>
          <w:sz w:val="24"/>
          <w:szCs w:val="24"/>
        </w:rPr>
        <w:t>além das aulas. Vínculo e pertencimento constituem eixos e estratégias do programa, e não consequências da participação. Intencionalmente construídos nos espaços de encontro coletivo, ampliam possibilidades de participação na vida pública e fortalecem o eixo de gênero, favorecendo o compartilhamento de experiências percebidas no âmbito individual que podem ser reconhecidas como socialmente produzidas e atravessadas pelas relações de gênero.</w:t>
      </w:r>
    </w:p>
    <w:p>
      <w:pPr>
        <w:pStyle w:val="normal1"/>
        <w:keepLines/>
        <w:widowControl w:val="false"/>
        <w:spacing w:lineRule="auto" w:line="36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Ao discutir a modernidade, Dussel (1994) evidencia que sua constituição não pode ser dissociada da dominação colonial e da produção de hierarquias entre sujeitos, culturas, corpos e conhecimentos. A afirmação de um sujeito universal, racional e europeu ocorreu simultaneamente à deslegitimação de outros saberes e experiências, enquanto a separação entre razão e corpo relegou a corporeidade a um lugar inferior na produção de conhecimento, atingindo particularmente os grupos historicamente  subalternizados.</w:t>
      </w:r>
    </w:p>
    <w:p>
      <w:pPr>
        <w:pStyle w:val="normal1"/>
        <w:keepLines/>
        <w:widowControl w:val="false"/>
        <w:spacing w:lineRule="auto" w:line="36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Essa reflexão reafirmou uma compreensão já presente em minha atuação: reduzir o movimento à dimensão biológica limita sua potência cultural, política e pedagógica. Quando o corpo é compreendido apenas como organismo a ser treinado ou disciplinado, invisibilizam-se as relações sociais, políticas e culturais que constituem as experiências das mulheres. As práticas corporais são, assim, reduzidas a instrumentos para melhorar indicadores de saúde, deixando de ser reconhecidas como espaços de produção de </w:t>
      </w:r>
      <w:r>
        <w:rPr>
          <w:rFonts w:ascii="Arial" w:hAnsi="Arial"/>
          <w:sz w:val="24"/>
          <w:szCs w:val="24"/>
        </w:rPr>
        <w:t>saberes</w:t>
      </w:r>
      <w:r>
        <w:rPr>
          <w:rFonts w:ascii="Arial" w:hAnsi="Arial"/>
          <w:sz w:val="24"/>
          <w:szCs w:val="24"/>
        </w:rPr>
        <w:t>. Superar essa lógica é reconhecer que, ao se movimentarem, essas mulheres também produzem saberes e constroem outras possibilidades de estar no mundo.</w:t>
      </w:r>
    </w:p>
    <w:p>
      <w:pPr>
        <w:pStyle w:val="normal1"/>
        <w:keepLines/>
        <w:widowControl w:val="false"/>
        <w:spacing w:lineRule="auto" w:line="36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As aulas produzem encontros, aprendizagens e solidariedade que não se reduzem ao exercício físico. Ao compartilhar histórias e discutir sobre diferentes atravessamentos em suas vidas, as participantes constroem interpretações sobre suas experiências. O conhecimento produzido no PMM não nasce apenas da transmissão de conteúdos, mas da articulação entre saberes construídos na experiência vivida, cuja potência a crítica de Dussel ajuda a reconhecer.</w:t>
      </w:r>
    </w:p>
    <w:p>
      <w:pPr>
        <w:pStyle w:val="normal1"/>
        <w:widowControl w:val="false"/>
        <w:spacing w:lineRule="auto" w:line="36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Oyěwùmí amplia essa reflexão ao questionar a universalização da categoria “mulher” e demonstrar que concepções ocidentais de gênero não podem ser tomadas como parâmetro universal. Essa perspectiva desloca meu olhar sobre o PMM: as participantes são atravessadas por raça, classe, geração, maternidade e diferentes trajetórias de acesso aos direitos, e pensá-las como grupo homogêneo reproduziria a lógica criticada pela autora (2004). As práticas corporais, portanto, não dialogam com um corpo feminino idealizado, mas com corpos concretos e experiências diversas. O cuidado deixa de ser aplicado igualmente a todas e passa a ser construído pela escuta, diálogo e reconhecimento das diferenças e possibilidades de cada pessoa. Talvez a potência do PMM não esteja em uma metodologia ideal, mas na construção coletiva de práticas situadas.</w:t>
      </w:r>
    </w:p>
    <w:p>
      <w:pPr>
        <w:pStyle w:val="normal1"/>
        <w:keepLines/>
        <w:widowControl w:val="false"/>
        <w:spacing w:lineRule="auto" w:line="36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 potência  do PMM também se constrói no que emerge dos encontros entre mulheres: conversas, conflitos que exigem mediação, decisões coletivas e processos criativos. Acredito que isso se revela no desdobramento desses encontros, nas possibilidades de fala e escuta e nas formas de organização e convivência construídas também para além das aulas. Esses momentos, frequentemente invisibilizados pelas concepções tradicionais de ensino, fortalecem vínculos e pertencimento e revelam que o conhecimento também se produz nas relações e experiências compartilhadas.</w:t>
      </w:r>
    </w:p>
    <w:p>
      <w:pPr>
        <w:pStyle w:val="normal1"/>
        <w:widowControl w:val="false"/>
        <w:spacing w:lineRule="auto" w:line="360"/>
        <w:jc w:val="both"/>
        <w:rPr/>
      </w:pPr>
      <w:r>
        <w:rPr>
          <w:rFonts w:ascii="Arial" w:hAnsi="Arial"/>
          <w:sz w:val="24"/>
          <w:szCs w:val="24"/>
        </w:rPr>
        <w:t xml:space="preserve">É nesse ponto que Lorde (2003), em </w:t>
      </w:r>
      <w:r>
        <w:rPr>
          <w:rStyle w:val="Emphasis"/>
          <w:rFonts w:ascii="Arial" w:hAnsi="Arial"/>
          <w:sz w:val="24"/>
          <w:szCs w:val="24"/>
        </w:rPr>
        <w:t>As ferramentas do amo nunca desmontarão a casa do amo</w:t>
      </w:r>
      <w:r>
        <w:rPr>
          <w:rFonts w:ascii="Arial" w:hAnsi="Arial"/>
          <w:sz w:val="24"/>
          <w:szCs w:val="24"/>
        </w:rPr>
        <w:t>, alerta que projetos comprometidos com a transformação social não podem reproduzir as racionalidades que combatem. Esse argumento me levou a olhar para o PMM. Se reconheço sua potência como política pública construída pela mobilização das mulheres, também reconheço que não está livre das racionalidades hegemônicas que atravessam a Educação Física, as políticas públicas e minha atuação. Nós, professoras(es), podemos reproduzir discursos de responsabilização individual pela saúde, concepções biologicistas ou padrões de desempenho corporal. Lorde evidencia que nenhuma proposta emancipatória está concluída: precisa ser constantemente interrogada para não reproduzir as hierarquias que pretende superar. A emancipação deixa de ser ponto de chegada e torna-se processo permanente de reflexão e reconstrução de práticas pedagógicas mais horizontais.</w:t>
      </w:r>
    </w:p>
    <w:p>
      <w:pPr>
        <w:pStyle w:val="normal1"/>
        <w:widowControl w:val="false"/>
        <w:spacing w:lineRule="auto" w:line="360"/>
        <w:jc w:val="both"/>
        <w:rPr/>
      </w:pPr>
      <w:r>
        <w:rPr>
          <w:rFonts w:ascii="Arial" w:hAnsi="Arial"/>
          <w:b w:val="false"/>
          <w:bCs w:val="false"/>
          <w:sz w:val="24"/>
          <w:szCs w:val="24"/>
        </w:rPr>
        <w:t xml:space="preserve">Isso significa compreender que o PMM não “liberta” mulheres nem produz automaticamente consciência crítica. Sua potência está em criar condições para </w:t>
      </w:r>
      <w:r>
        <w:rPr>
          <w:rStyle w:val="Strong"/>
          <w:rFonts w:ascii="Arial" w:hAnsi="Arial"/>
          <w:b w:val="false"/>
          <w:bCs w:val="false"/>
          <w:sz w:val="24"/>
          <w:szCs w:val="24"/>
        </w:rPr>
        <w:t>compartilhar saberes e experiências, experimentar outras formas de se movimentar e participar coletivamente</w:t>
      </w:r>
      <w:r>
        <w:rPr>
          <w:rFonts w:ascii="Arial" w:hAnsi="Arial"/>
          <w:b w:val="false"/>
          <w:bCs w:val="false"/>
          <w:sz w:val="24"/>
          <w:szCs w:val="24"/>
        </w:rPr>
        <w:t xml:space="preserve">, aproximando-se de hooks (2020) e da educação como prática da liberdade: não como algo que emancipa o outro, mas como processo construído pelo pertencimento, cuidado e participação política, no qual as mulheres se reconhecem como sujeitos de transformação social. Assim, o PMM constitui uma experiência pedagógica que tensiona formas de colonialidade que atravessam corpos, saberes e relações sociais. Ao ocupar o tempo para si, mover-se e produzir sentidos coletivamente, as participantes disputam lugares historicamente negados. </w:t>
      </w:r>
      <w:r>
        <w:rPr>
          <w:rStyle w:val="Strong"/>
          <w:rFonts w:ascii="Arial" w:hAnsi="Arial"/>
          <w:b w:val="false"/>
          <w:bCs w:val="false"/>
          <w:sz w:val="24"/>
          <w:szCs w:val="24"/>
        </w:rPr>
        <w:t>As práticas corporais tornam-se espaços de produção de saberes, cuidado coletivo e participação política, nos quais constroem e disputam outras possibilidades de estar no mundo.</w:t>
      </w:r>
    </w:p>
    <w:p>
      <w:pPr>
        <w:pStyle w:val="normal1"/>
        <w:widowControl w:val="false"/>
        <w:spacing w:lineRule="auto" w:line="360"/>
        <w:jc w:val="both"/>
        <w:rPr>
          <w:rStyle w:val="Strong"/>
          <w:rFonts w:ascii="Arial" w:hAnsi="Arial"/>
          <w:b w:val="false"/>
          <w:bCs w:val="false"/>
          <w:sz w:val="24"/>
          <w:szCs w:val="24"/>
        </w:rPr>
      </w:pPr>
      <w:r>
        <w:rPr/>
      </w:r>
    </w:p>
    <w:p>
      <w:pPr>
        <w:pStyle w:val="normal1"/>
        <w:keepLines/>
        <w:widowControl w:val="false"/>
        <w:spacing w:lineRule="auto" w:line="360"/>
        <w:jc w:val="both"/>
        <w:rPr>
          <w:rFonts w:ascii="Arial" w:hAnsi="Arial"/>
        </w:rPr>
      </w:pPr>
      <w:r>
        <w:rPr>
          <w:rFonts w:ascii="Arial" w:hAnsi="Arial"/>
          <w:b/>
          <w:bCs/>
          <w:sz w:val="24"/>
          <w:szCs w:val="24"/>
        </w:rPr>
        <w:t>P</w:t>
      </w:r>
      <w:r>
        <w:rPr>
          <w:rFonts w:ascii="Arial" w:hAnsi="Arial"/>
          <w:b/>
          <w:bCs/>
          <w:sz w:val="24"/>
          <w:szCs w:val="24"/>
        </w:rPr>
        <w:t>ALAVRAS-CHAVE</w:t>
      </w:r>
    </w:p>
    <w:p>
      <w:pPr>
        <w:pStyle w:val="normal1"/>
        <w:widowControl w:val="false"/>
        <w:spacing w:lineRule="auto" w:line="36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Práticas corporais; Produção de saberes; Participação política; Gênero.</w:t>
      </w:r>
    </w:p>
    <w:p>
      <w:pPr>
        <w:pStyle w:val="normal1"/>
        <w:keepLines/>
        <w:widowControl w:val="false"/>
        <w:spacing w:lineRule="auto" w:line="240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</w:r>
    </w:p>
    <w:p>
      <w:pPr>
        <w:pStyle w:val="normal1"/>
        <w:keepLines/>
        <w:widowControl w:val="false"/>
        <w:spacing w:lineRule="auto" w:line="240"/>
        <w:rPr>
          <w:rFonts w:ascii="Arial" w:hAnsi="Arial"/>
        </w:rPr>
      </w:pPr>
      <w:r>
        <w:rPr>
          <w:rFonts w:ascii="Arial" w:hAnsi="Arial"/>
          <w:b/>
          <w:bCs/>
          <w:sz w:val="24"/>
          <w:szCs w:val="24"/>
        </w:rPr>
        <w:t>REFERÊNCIAS</w:t>
      </w:r>
      <w:r>
        <w:rPr>
          <w:rFonts w:ascii="Arial" w:hAnsi="Arial"/>
          <w:sz w:val="24"/>
          <w:szCs w:val="24"/>
        </w:rPr>
        <w:t xml:space="preserve"> </w:t>
      </w:r>
    </w:p>
    <w:p>
      <w:pPr>
        <w:pStyle w:val="BodyText"/>
        <w:widowControl w:val="false"/>
        <w:bidi w:val="0"/>
        <w:spacing w:lineRule="auto" w:line="430" w:before="240" w:after="240"/>
        <w:ind w:hanging="0" w:start="0" w:end="0"/>
        <w:jc w:val="both"/>
        <w:rPr>
          <w:rFonts w:ascii="Arial" w:hAnsi="Arial"/>
          <w:b w:val="false"/>
          <w:bCs w:val="false"/>
          <w:i w:val="false"/>
          <w:caps w:val="false"/>
          <w:smallCaps w:val="false"/>
          <w:strike w:val="false"/>
          <w:dstrike w:val="false"/>
          <w:color w:val="auto"/>
          <w:sz w:val="24"/>
          <w:szCs w:val="24"/>
          <w:u w:val="none"/>
          <w:effect w:val="none"/>
          <w:shd w:fill="auto" w:val="clear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strike w:val="false"/>
          <w:dstrike w:val="false"/>
          <w:color w:val="auto"/>
          <w:sz w:val="24"/>
          <w:szCs w:val="24"/>
          <w:u w:val="none"/>
          <w:effect w:val="none"/>
          <w:shd w:fill="auto" w:val="clear"/>
        </w:rPr>
        <w:t xml:space="preserve">DUSSEL, Enrique. </w:t>
      </w:r>
      <w:r>
        <w:rPr>
          <w:rStyle w:val="Emphasis"/>
          <w:rFonts w:ascii="Arial" w:hAnsi="Arial"/>
          <w:b w:val="false"/>
          <w:bCs w:val="false"/>
          <w:caps w:val="false"/>
          <w:smallCaps w:val="false"/>
          <w:strike w:val="false"/>
          <w:dstrike w:val="false"/>
          <w:color w:val="auto"/>
          <w:sz w:val="24"/>
          <w:szCs w:val="24"/>
          <w:u w:val="none"/>
          <w:effect w:val="none"/>
          <w:shd w:fill="auto" w:val="clear"/>
        </w:rPr>
        <w:t>El encubrimiento del otro: hacia el origen del mito de la modernidad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strike w:val="false"/>
          <w:dstrike w:val="false"/>
          <w:color w:val="auto"/>
          <w:sz w:val="24"/>
          <w:szCs w:val="24"/>
          <w:u w:val="none"/>
          <w:effect w:val="none"/>
          <w:shd w:fill="auto" w:val="clear"/>
        </w:rPr>
        <w:t>. 3. ed. Quito: Ediciones ABYA-YALA, 1994.</w:t>
      </w:r>
    </w:p>
    <w:p>
      <w:pPr>
        <w:pStyle w:val="BodyText"/>
        <w:widowControl w:val="false"/>
        <w:spacing w:lineRule="auto" w:line="430" w:before="240" w:after="24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HOOKS, bell. </w:t>
      </w:r>
      <w:r>
        <w:rPr>
          <w:rStyle w:val="Emphasis"/>
          <w:rFonts w:ascii="Arial" w:hAnsi="Arial"/>
          <w:sz w:val="24"/>
          <w:szCs w:val="24"/>
        </w:rPr>
        <w:t>Ensinar para transgredir: a educação como prática da liberdade</w:t>
      </w:r>
      <w:r>
        <w:rPr>
          <w:rFonts w:ascii="Arial" w:hAnsi="Arial"/>
          <w:sz w:val="24"/>
          <w:szCs w:val="24"/>
        </w:rPr>
        <w:t>. São Paulo: WMF Martins Fontes, 2020.</w:t>
      </w:r>
    </w:p>
    <w:p>
      <w:pPr>
        <w:pStyle w:val="BodyText"/>
        <w:widowControl w:val="false"/>
        <w:spacing w:lineRule="auto" w:line="430" w:before="240" w:after="24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LORDE, Audre. Las herramientas del amo nunca desmontarán la casa del amo. In: LORDE, Audre. </w:t>
      </w:r>
      <w:r>
        <w:rPr>
          <w:rStyle w:val="Emphasis"/>
          <w:rFonts w:ascii="Arial" w:hAnsi="Arial"/>
          <w:sz w:val="24"/>
          <w:szCs w:val="24"/>
        </w:rPr>
        <w:t>La hermana, la extranjera: artículos y conferencias</w:t>
      </w:r>
      <w:r>
        <w:rPr>
          <w:rFonts w:ascii="Arial" w:hAnsi="Arial"/>
          <w:sz w:val="24"/>
          <w:szCs w:val="24"/>
        </w:rPr>
        <w:t>. Madrid: Horas y Horas, 2003. p. 115-120.</w:t>
      </w:r>
    </w:p>
    <w:p>
      <w:pPr>
        <w:pStyle w:val="BodyText"/>
        <w:widowControl w:val="false"/>
        <w:spacing w:lineRule="auto" w:line="430" w:before="240" w:after="24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MANSKE, George Saliba. Práticas corporais como conceito? </w:t>
      </w:r>
      <w:r>
        <w:rPr>
          <w:rStyle w:val="Emphasis"/>
          <w:rFonts w:ascii="Arial" w:hAnsi="Arial"/>
          <w:sz w:val="24"/>
          <w:szCs w:val="24"/>
        </w:rPr>
        <w:t>Movimento</w:t>
      </w:r>
      <w:r>
        <w:rPr>
          <w:rFonts w:ascii="Arial" w:hAnsi="Arial"/>
          <w:sz w:val="24"/>
          <w:szCs w:val="24"/>
        </w:rPr>
        <w:t>, Porto Alegre, v. 28, e28001, 2022. DOI: 10.22456/1982-8918.118810.</w:t>
      </w:r>
    </w:p>
    <w:p>
      <w:pPr>
        <w:pStyle w:val="BodyText"/>
        <w:widowControl w:val="false"/>
        <w:spacing w:lineRule="auto" w:line="430" w:before="240" w:after="24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OYĚWÙMÍ, Oyèrónkẹ́. Conceituando o gênero: os fundamentos eurocêntricos dos conceitos feministas e o desafio das epistemologias africanas. Tradução para uso didático de Juliana Araújo Lopes. Tradução de: OYĚWÙMÍ, Oyèrónkẹ́. Conceptualizing gender: the Eurocentric foundations of feminist concepts and the challenge of African epistemologies. In: </w:t>
      </w:r>
      <w:r>
        <w:rPr>
          <w:rStyle w:val="Emphasis"/>
          <w:rFonts w:ascii="Arial" w:hAnsi="Arial"/>
          <w:sz w:val="24"/>
          <w:szCs w:val="24"/>
        </w:rPr>
        <w:t>African Gender Scholarship: Concepts, Methodologies and Paradigms</w:t>
      </w:r>
      <w:r>
        <w:rPr>
          <w:rFonts w:ascii="Arial" w:hAnsi="Arial"/>
          <w:sz w:val="24"/>
          <w:szCs w:val="24"/>
        </w:rPr>
        <w:t>. Dakar: CODESRIA, 2004. p. 1-8.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footnotePr>
        <w:numFmt w:val="decimal"/>
      </w:footnotePr>
      <w:type w:val="nextPage"/>
      <w:pgSz w:w="11906" w:h="16838"/>
      <w:pgMar w:left="1440" w:right="1440" w:gutter="0" w:header="72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BodyText"/>
        <w:bidi w:val="0"/>
        <w:spacing w:lineRule="auto" w:line="288" w:before="0" w:after="0"/>
        <w:ind w:hanging="0" w:start="0" w:end="0"/>
        <w:jc w:val="both"/>
        <w:rPr/>
      </w:pPr>
      <w:r>
        <w:rPr>
          <w:rStyle w:val="Caracteresdenotaderodap"/>
        </w:rPr>
        <w:footnoteRef/>
      </w:r>
      <w:bookmarkStart w:id="0" w:name="docs-internal-guid-0492e381-7fff-9a9e-f6"/>
      <w:bookmarkEnd w:id="0"/>
      <w:r>
        <w:rPr>
          <w:caps w:val="false"/>
          <w:smallCaps w:val="false"/>
          <w:strike w:val="false"/>
          <w:dstrike w:val="false"/>
          <w:color w:val="000000"/>
          <w:sz w:val="20"/>
          <w:szCs w:val="20"/>
          <w:u w:val="none"/>
          <w:effect w:val="none"/>
          <w:shd w:fill="auto" w:val="clear"/>
        </w:rPr>
        <w:t> </w:t>
      </w:r>
      <w:r>
        <w:rPr>
          <w:sz w:val="20"/>
          <w:szCs w:val="20"/>
        </w:rPr>
        <w:t xml:space="preserve">Compreendo as práticas corporais como manifestações culturais historicamente produzidas, pelas quais sujeitos e </w:t>
      </w:r>
      <w:r>
        <w:rPr>
          <w:sz w:val="20"/>
          <w:szCs w:val="20"/>
        </w:rPr>
        <w:t>coletivos</w:t>
      </w:r>
      <w:r>
        <w:rPr>
          <w:sz w:val="20"/>
          <w:szCs w:val="20"/>
        </w:rPr>
        <w:t xml:space="preserve"> se movimentam, produzem sentidos e se relacionam com o mundo. Para Manske (2022), não se restringem à dimensão biológica, mas constituem um campo de disputas epistemológicas que permite compreender o corpo para além da racionalidade biomédica e esportivizada.</w:t>
      </w:r>
      <w:r>
        <w:rPr>
          <w:sz w:val="20"/>
          <w:szCs w:val="20"/>
        </w:rPr>
        <w:br/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end"/>
      <w:rPr/>
    </w:pPr>
    <w:r>
      <w:rPr/>
      <w:drawing>
        <wp:anchor distT="0" distB="0" distL="0" distR="0" simplePos="0" relativeHeight="5" behindDoc="1" locked="0" layoutInCell="1" allowOverlap="1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530" cy="1700530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700530" cy="17005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9" behindDoc="1" locked="0" layoutInCell="1" allowOverlap="1">
          <wp:simplePos x="0" y="0"/>
          <wp:positionH relativeFrom="column">
            <wp:posOffset>5791200</wp:posOffset>
          </wp:positionH>
          <wp:positionV relativeFrom="paragraph">
            <wp:posOffset>-304800</wp:posOffset>
          </wp:positionV>
          <wp:extent cx="664845" cy="762000"/>
          <wp:effectExtent l="0" t="0" r="0" b="0"/>
          <wp:wrapNone/>
          <wp:docPr id="2" name="image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3.pn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0" t="236" r="0" b="236"/>
                  <a:stretch>
                    <a:fillRect/>
                  </a:stretch>
                </pic:blipFill>
                <pic:spPr bwMode="auto">
                  <a:xfrm>
                    <a:off x="0" y="0"/>
                    <a:ext cx="664845" cy="762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1"/>
      <w:jc w:val="end"/>
      <w:rPr/>
    </w:pPr>
    <w:r>
      <w:rPr/>
    </w:r>
  </w:p>
  <w:p>
    <w:pPr>
      <w:pStyle w:val="normal1"/>
      <w:jc w:val="end"/>
      <w:rPr/>
    </w:pPr>
    <w:r>
      <w:rPr/>
    </w:r>
  </w:p>
  <w:p>
    <w:pPr>
      <w:pStyle w:val="normal1"/>
      <w:jc w:val="start"/>
      <w:rPr/>
    </w:pPr>
    <w:r>
      <w:rPr/>
      <w:drawing>
        <wp:anchor distT="0" distB="0" distL="0" distR="0" simplePos="0" relativeHeight="13" behindDoc="1" locked="0" layoutInCell="0" allowOverlap="1">
          <wp:simplePos x="0" y="0"/>
          <wp:positionH relativeFrom="page">
            <wp:posOffset>0</wp:posOffset>
          </wp:positionH>
          <wp:positionV relativeFrom="page">
            <wp:posOffset>-5715</wp:posOffset>
          </wp:positionV>
          <wp:extent cx="415925" cy="10716260"/>
          <wp:effectExtent l="0" t="0" r="0" b="0"/>
          <wp:wrapNone/>
          <wp:docPr id="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415925" cy="107162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end"/>
      <w:rPr/>
    </w:pPr>
    <w:r>
      <w:rPr/>
      <w:drawing>
        <wp:anchor distT="0" distB="0" distL="0" distR="0" simplePos="0" relativeHeight="5" behindDoc="1" locked="0" layoutInCell="1" allowOverlap="1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530" cy="1700530"/>
          <wp:effectExtent l="0" t="0" r="0" b="0"/>
          <wp:wrapNone/>
          <wp:docPr id="4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700530" cy="17005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9" behindDoc="1" locked="0" layoutInCell="1" allowOverlap="1">
          <wp:simplePos x="0" y="0"/>
          <wp:positionH relativeFrom="column">
            <wp:posOffset>5791200</wp:posOffset>
          </wp:positionH>
          <wp:positionV relativeFrom="paragraph">
            <wp:posOffset>-304800</wp:posOffset>
          </wp:positionV>
          <wp:extent cx="664845" cy="762000"/>
          <wp:effectExtent l="0" t="0" r="0" b="0"/>
          <wp:wrapNone/>
          <wp:docPr id="5" name="image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3.pn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0" t="236" r="0" b="236"/>
                  <a:stretch>
                    <a:fillRect/>
                  </a:stretch>
                </pic:blipFill>
                <pic:spPr bwMode="auto">
                  <a:xfrm>
                    <a:off x="0" y="0"/>
                    <a:ext cx="664845" cy="762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1"/>
      <w:jc w:val="end"/>
      <w:rPr/>
    </w:pPr>
    <w:r>
      <w:rPr/>
    </w:r>
  </w:p>
  <w:p>
    <w:pPr>
      <w:pStyle w:val="normal1"/>
      <w:jc w:val="end"/>
      <w:rPr/>
    </w:pPr>
    <w:r>
      <w:rPr/>
    </w:r>
  </w:p>
  <w:p>
    <w:pPr>
      <w:pStyle w:val="normal1"/>
      <w:jc w:val="start"/>
      <w:rPr/>
    </w:pPr>
    <w:r>
      <w:rPr/>
      <w:drawing>
        <wp:anchor distT="0" distB="0" distL="0" distR="0" simplePos="0" relativeHeight="13" behindDoc="1" locked="0" layoutInCell="0" allowOverlap="1">
          <wp:simplePos x="0" y="0"/>
          <wp:positionH relativeFrom="page">
            <wp:posOffset>0</wp:posOffset>
          </wp:positionH>
          <wp:positionV relativeFrom="page">
            <wp:posOffset>-5715</wp:posOffset>
          </wp:positionV>
          <wp:extent cx="415925" cy="10716260"/>
          <wp:effectExtent l="0" t="0" r="0" b="0"/>
          <wp:wrapNone/>
          <wp:docPr id="6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2.png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415925" cy="107162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Caracteresdenotaderodap">
    <w:name w:val="Caracteres de nota de rodapé"/>
    <w:qFormat/>
    <w:rPr/>
  </w:style>
  <w:style w:type="character" w:styleId="FootnoteReference">
    <w:name w:val="footnote reference"/>
    <w:rPr>
      <w:vertAlign w:val="superscript"/>
    </w:rPr>
  </w:style>
  <w:style w:type="character" w:styleId="Emphasis">
    <w:name w:val="Emphasis"/>
    <w:qFormat/>
    <w:rPr>
      <w:i/>
      <w:iCs/>
    </w:rPr>
  </w:style>
  <w:style w:type="character" w:styleId="EndnoteReference">
    <w:name w:val="endnote reference"/>
    <w:rPr>
      <w:vertAlign w:val="superscript"/>
    </w:rPr>
  </w:style>
  <w:style w:type="character" w:styleId="Caracteresdenotadefim">
    <w:name w:val="Caracteres de nota de fim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paragraph" w:styleId="FootnoteText">
    <w:name w:val="footnote text"/>
    <w:basedOn w:val="Normal"/>
    <w:pPr>
      <w:suppressLineNumbers/>
      <w:ind w:hanging="340" w:start="340"/>
    </w:pPr>
    <w:rPr>
      <w:sz w:val="20"/>
      <w:szCs w:val="2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otnotes" Target="footnotes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LibreOffice/26.2.5.2$Linux_X86_64 LibreOffice_project/cd7284b4cbbfeb507e630c1aac019f4157393acb</Application>
  <AppVersion>15.0000</AppVersion>
  <Pages>4</Pages>
  <Words>1170</Words>
  <Characters>7194</Characters>
  <CharactersWithSpaces>8346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2026-08-16T14:15:42Z</dcterms:modified>
  <cp:revision>1</cp:revision>
  <dc:subject/>
  <dc:title/>
</cp:coreProperties>
</file>