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5" w14:textId="77777777" w:rsidR="00F91BC5" w:rsidRDefault="00000000">
      <w:pPr>
        <w:spacing w:after="160"/>
        <w:jc w:val="center"/>
        <w:rPr>
          <w:b/>
          <w:lang w:val="pt-BR"/>
        </w:rPr>
      </w:pPr>
      <w:r>
        <w:rPr>
          <w:rFonts w:eastAsia="Times New Roman"/>
          <w:b/>
          <w:sz w:val="24"/>
          <w:szCs w:val="24"/>
          <w:lang w:val="pt-BR" w:eastAsia="zh-CN"/>
        </w:rPr>
        <w:t>CONVERSATÓRIO 04 - EDUCAÇÃO E SABERES DO CAMPO, DAS ÁGUAS E DAS FLORESTAS: IMAGINAR-CONSTRUIR A ESCOLA A PARTIR DO POPULAR E DO PRÓPRIO</w:t>
      </w:r>
    </w:p>
    <w:p w14:paraId="00000006" w14:textId="77777777" w:rsidR="00F91BC5" w:rsidRDefault="00F91BC5">
      <w:pPr>
        <w:spacing w:after="160"/>
        <w:rPr>
          <w:lang w:val="pt-BR"/>
        </w:rPr>
      </w:pPr>
    </w:p>
    <w:p w14:paraId="00000007" w14:textId="77777777" w:rsidR="00F91BC5" w:rsidRDefault="00F91BC5">
      <w:pPr>
        <w:spacing w:after="160"/>
        <w:rPr>
          <w:b/>
          <w:strike/>
          <w:lang w:val="pt-BR"/>
        </w:rPr>
      </w:pPr>
    </w:p>
    <w:p w14:paraId="00000008" w14:textId="44AA7C75" w:rsidR="00F91BC5" w:rsidRPr="00F20881" w:rsidRDefault="00000000">
      <w:pPr>
        <w:spacing w:after="160"/>
        <w:jc w:val="center"/>
        <w:rPr>
          <w:b/>
          <w:bCs/>
          <w:lang w:val="pt-BR"/>
        </w:rPr>
      </w:pPr>
      <w:r w:rsidRPr="00F20881">
        <w:rPr>
          <w:rFonts w:eastAsia="Times New Roman"/>
          <w:b/>
          <w:bCs/>
          <w:sz w:val="24"/>
          <w:szCs w:val="24"/>
          <w:lang w:val="pt-BR" w:eastAsia="zh-CN"/>
        </w:rPr>
        <w:t xml:space="preserve">Educação </w:t>
      </w:r>
      <w:r w:rsidR="00F20881" w:rsidRPr="00F20881">
        <w:rPr>
          <w:rFonts w:eastAsia="Times New Roman"/>
          <w:b/>
          <w:bCs/>
          <w:sz w:val="24"/>
          <w:szCs w:val="24"/>
          <w:highlight w:val="cyan"/>
          <w:lang w:val="pt-BR" w:eastAsia="zh-CN"/>
        </w:rPr>
        <w:t>em</w:t>
      </w:r>
      <w:r w:rsidRPr="00F20881">
        <w:rPr>
          <w:rFonts w:eastAsia="Times New Roman"/>
          <w:b/>
          <w:bCs/>
          <w:sz w:val="24"/>
          <w:szCs w:val="24"/>
          <w:lang w:val="pt-BR" w:eastAsia="zh-CN"/>
        </w:rPr>
        <w:t xml:space="preserve"> Comunidades Ribeirinhas e a Educação de Jovens e Adultos (EJA): Contexto, Desafios e Potencialidades</w:t>
      </w:r>
    </w:p>
    <w:p w14:paraId="00000009" w14:textId="77777777" w:rsidR="00F91BC5" w:rsidRDefault="00F91BC5">
      <w:pPr>
        <w:spacing w:after="160"/>
        <w:rPr>
          <w:lang w:val="pt-BR"/>
        </w:rPr>
      </w:pPr>
    </w:p>
    <w:p w14:paraId="0000000A" w14:textId="77777777" w:rsidR="00F91BC5" w:rsidRDefault="00F91BC5">
      <w:pPr>
        <w:spacing w:after="160"/>
        <w:rPr>
          <w:lang w:val="pt-BR"/>
        </w:rPr>
      </w:pPr>
    </w:p>
    <w:p w14:paraId="0000000B" w14:textId="77777777" w:rsidR="00F91BC5" w:rsidRDefault="00000000">
      <w:pPr>
        <w:spacing w:after="160"/>
        <w:jc w:val="right"/>
        <w:rPr>
          <w:rFonts w:eastAsia="Times New Roman"/>
          <w:color w:val="000000" w:themeColor="text1"/>
          <w:sz w:val="24"/>
          <w:szCs w:val="24"/>
          <w:lang w:val="pt-BR" w:eastAsia="zh-CN"/>
        </w:rPr>
      </w:pPr>
      <w:r>
        <w:rPr>
          <w:rFonts w:eastAsia="Times New Roman"/>
          <w:sz w:val="24"/>
          <w:szCs w:val="24"/>
          <w:lang w:val="pt-BR" w:eastAsia="zh-CN"/>
        </w:rPr>
        <w:t xml:space="preserve">Dayane Pantoja de Melo, Universidade Federal do Pará (UFPA),  </w:t>
      </w:r>
      <w:hyperlink r:id="rId7" w:history="1">
        <w:r>
          <w:rPr>
            <w:rStyle w:val="Hyperlink"/>
            <w:rFonts w:eastAsia="Times New Roman"/>
            <w:color w:val="000000" w:themeColor="text1"/>
            <w:sz w:val="24"/>
            <w:szCs w:val="24"/>
            <w:u w:val="none"/>
            <w:lang w:val="pt-BR" w:eastAsia="zh-CN"/>
          </w:rPr>
          <w:t>daymelo002@gmail.com</w:t>
        </w:r>
      </w:hyperlink>
    </w:p>
    <w:p w14:paraId="0000000C" w14:textId="77777777" w:rsidR="00F91BC5" w:rsidRDefault="00000000">
      <w:pPr>
        <w:spacing w:after="160"/>
        <w:jc w:val="right"/>
        <w:rPr>
          <w:rFonts w:eastAsia="Times New Roman"/>
          <w:color w:val="000000" w:themeColor="text1"/>
          <w:sz w:val="24"/>
          <w:szCs w:val="24"/>
          <w:lang w:val="pt-BR" w:eastAsia="zh-CN"/>
        </w:rPr>
      </w:pPr>
      <w:r>
        <w:rPr>
          <w:rFonts w:eastAsia="Times New Roman"/>
          <w:sz w:val="24"/>
          <w:szCs w:val="24"/>
          <w:lang w:val="pt-BR" w:eastAsia="zh-CN"/>
        </w:rPr>
        <w:t xml:space="preserve">Raiany Martins Cardoso, Universidade Federal do Pará (UFPA) , </w:t>
      </w:r>
      <w:hyperlink r:id="rId8" w:history="1">
        <w:r>
          <w:rPr>
            <w:rStyle w:val="Hyperlink"/>
            <w:rFonts w:eastAsia="Times New Roman"/>
            <w:sz w:val="24"/>
            <w:szCs w:val="24"/>
            <w:lang w:val="pt-BR" w:eastAsia="zh-CN"/>
          </w:rPr>
          <w:t>Raianyufpa98@gmail.com</w:t>
        </w:r>
      </w:hyperlink>
    </w:p>
    <w:p w14:paraId="0000000D" w14:textId="77777777" w:rsidR="00F91BC5" w:rsidRDefault="00F91BC5">
      <w:pPr>
        <w:spacing w:after="160"/>
        <w:jc w:val="right"/>
        <w:rPr>
          <w:rFonts w:eastAsia="Times New Roman"/>
          <w:sz w:val="24"/>
          <w:szCs w:val="24"/>
          <w:lang w:val="pt-BR" w:eastAsia="zh-CN"/>
        </w:rPr>
      </w:pPr>
    </w:p>
    <w:p w14:paraId="0000000E" w14:textId="77777777" w:rsidR="00F91BC5" w:rsidRDefault="00F91BC5">
      <w:pPr>
        <w:spacing w:after="160"/>
        <w:rPr>
          <w:lang w:val="pt-BR"/>
        </w:rPr>
      </w:pPr>
    </w:p>
    <w:p w14:paraId="0000000F" w14:textId="77777777" w:rsidR="00F91BC5" w:rsidRDefault="00000000">
      <w:pPr>
        <w:spacing w:after="160"/>
        <w:jc w:val="both"/>
        <w:rPr>
          <w:b/>
          <w:lang w:val="pt-BR"/>
        </w:rPr>
      </w:pPr>
      <w:r>
        <w:rPr>
          <w:rFonts w:eastAsia="Times New Roman"/>
          <w:b/>
          <w:sz w:val="24"/>
          <w:szCs w:val="24"/>
          <w:lang w:val="pt-BR" w:eastAsia="zh-CN"/>
        </w:rPr>
        <w:t>RESUMO</w:t>
      </w:r>
    </w:p>
    <w:p w14:paraId="10DED9D6" w14:textId="77777777" w:rsidR="00F20881" w:rsidRDefault="00000000" w:rsidP="00F20881">
      <w:pPr>
        <w:spacing w:line="360" w:lineRule="auto"/>
        <w:ind w:firstLine="720"/>
        <w:jc w:val="both"/>
        <w:rPr>
          <w:rFonts w:eastAsia="Times New Roman"/>
          <w:sz w:val="24"/>
          <w:szCs w:val="24"/>
          <w:lang w:val="pt-BR" w:eastAsia="zh-CN"/>
        </w:rPr>
      </w:pPr>
      <w:r>
        <w:rPr>
          <w:rFonts w:eastAsia="Times New Roman"/>
          <w:sz w:val="24"/>
          <w:szCs w:val="24"/>
          <w:lang w:val="pt-BR" w:eastAsia="zh-CN"/>
        </w:rPr>
        <w:t>Este trabalho se insere na perspectiva da Educação e Saberes do Campo, das Águas e das Florestas, cujo princípio é imaginar e construir a escola a partir do que é popular e próprio de cada povo, rompendo com modelos impostos que não dialogam com a realidade vivida. Conforme a Lei de Diretrizes e Bases da Educação (LDB), Lei n</w:t>
      </w:r>
      <w:r w:rsidR="00F20881" w:rsidRPr="00F20881">
        <w:rPr>
          <w:rFonts w:eastAsia="Times New Roman"/>
          <w:sz w:val="24"/>
          <w:szCs w:val="24"/>
          <w:highlight w:val="cyan"/>
          <w:lang w:val="pt-BR" w:eastAsia="zh-CN"/>
        </w:rPr>
        <w:t>º</w:t>
      </w:r>
      <w:r>
        <w:rPr>
          <w:rFonts w:eastAsia="Times New Roman"/>
          <w:sz w:val="24"/>
          <w:szCs w:val="24"/>
          <w:lang w:val="pt-BR" w:eastAsia="zh-CN"/>
        </w:rPr>
        <w:t xml:space="preserve"> 9.394, de 20 de dezembro de 1996</w:t>
      </w:r>
      <w:r w:rsidR="00F20881" w:rsidRPr="00F20881">
        <w:rPr>
          <w:rFonts w:eastAsia="Times New Roman"/>
          <w:sz w:val="24"/>
          <w:szCs w:val="24"/>
          <w:highlight w:val="cyan"/>
          <w:lang w:val="pt-BR" w:eastAsia="zh-CN"/>
        </w:rPr>
        <w:t>,</w:t>
      </w:r>
      <w:r>
        <w:rPr>
          <w:rFonts w:eastAsia="Times New Roman"/>
          <w:sz w:val="24"/>
          <w:szCs w:val="24"/>
          <w:lang w:val="pt-BR" w:eastAsia="zh-CN"/>
        </w:rPr>
        <w:t xml:space="preserve"> e o Parecer CNE/CEB nº 23/2008, a educação deve valorizar as especificidades culturais e territoriais, premissa que guia este texto</w:t>
      </w:r>
      <w:r w:rsidR="00F20881" w:rsidRPr="00F20881">
        <w:rPr>
          <w:rFonts w:eastAsia="Times New Roman"/>
          <w:sz w:val="24"/>
          <w:szCs w:val="24"/>
          <w:highlight w:val="cyan"/>
          <w:lang w:val="pt-BR" w:eastAsia="zh-CN"/>
        </w:rPr>
        <w:t>.</w:t>
      </w:r>
    </w:p>
    <w:p w14:paraId="00000010" w14:textId="398FE297" w:rsidR="00F91BC5" w:rsidRDefault="00000000" w:rsidP="00F20881">
      <w:pPr>
        <w:spacing w:line="360" w:lineRule="auto"/>
        <w:ind w:firstLine="720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 w:eastAsia="zh-CN"/>
        </w:rPr>
        <w:t xml:space="preserve">A educação </w:t>
      </w:r>
      <w:r w:rsidR="00F20881" w:rsidRPr="00F20881">
        <w:rPr>
          <w:rFonts w:eastAsia="Times New Roman"/>
          <w:sz w:val="24"/>
          <w:szCs w:val="24"/>
          <w:highlight w:val="cyan"/>
          <w:lang w:val="pt-BR" w:eastAsia="zh-CN"/>
        </w:rPr>
        <w:t>em</w:t>
      </w:r>
      <w:r>
        <w:rPr>
          <w:rFonts w:eastAsia="Times New Roman"/>
          <w:sz w:val="24"/>
          <w:szCs w:val="24"/>
          <w:lang w:val="pt-BR" w:eastAsia="zh-CN"/>
        </w:rPr>
        <w:t xml:space="preserve"> áreas ribeirinhas da Amazônia, especialmente </w:t>
      </w:r>
      <w:r w:rsidRPr="00F20881">
        <w:rPr>
          <w:rFonts w:eastAsia="Times New Roman"/>
          <w:sz w:val="24"/>
          <w:szCs w:val="24"/>
          <w:highlight w:val="cyan"/>
          <w:lang w:val="pt-BR" w:eastAsia="zh-CN"/>
        </w:rPr>
        <w:t xml:space="preserve">no </w:t>
      </w:r>
      <w:r w:rsidR="00F20881" w:rsidRPr="00F20881">
        <w:rPr>
          <w:rFonts w:eastAsia="Times New Roman"/>
          <w:sz w:val="24"/>
          <w:szCs w:val="24"/>
          <w:highlight w:val="cyan"/>
          <w:lang w:val="pt-BR" w:eastAsia="zh-CN"/>
        </w:rPr>
        <w:t>estado</w:t>
      </w:r>
      <w:r w:rsidR="00F20881">
        <w:rPr>
          <w:rFonts w:eastAsia="Times New Roman"/>
          <w:sz w:val="24"/>
          <w:szCs w:val="24"/>
          <w:lang w:val="pt-BR" w:eastAsia="zh-CN"/>
        </w:rPr>
        <w:t xml:space="preserve"> do </w:t>
      </w:r>
      <w:r>
        <w:rPr>
          <w:rFonts w:eastAsia="Times New Roman"/>
          <w:sz w:val="24"/>
          <w:szCs w:val="24"/>
          <w:lang w:val="pt-BR" w:eastAsia="zh-CN"/>
        </w:rPr>
        <w:t>Pará, ocorre em um território definido pela presença constante das águas</w:t>
      </w:r>
      <w:r w:rsidR="00F20881" w:rsidRPr="00F20881">
        <w:rPr>
          <w:rFonts w:eastAsia="Times New Roman"/>
          <w:sz w:val="24"/>
          <w:szCs w:val="24"/>
          <w:highlight w:val="cyan"/>
          <w:lang w:val="pt-BR" w:eastAsia="zh-CN"/>
        </w:rPr>
        <w:t>,</w:t>
      </w:r>
      <w:r>
        <w:rPr>
          <w:rFonts w:eastAsia="Times New Roman"/>
          <w:sz w:val="24"/>
          <w:szCs w:val="24"/>
          <w:lang w:val="pt-BR" w:eastAsia="zh-CN"/>
        </w:rPr>
        <w:t xml:space="preserve"> rios, igarapés, furos, paranás e ilhas. Esses elementos não são apenas vias de transporte, mas a base da organização social, econômica, religiosa e cultural d</w:t>
      </w:r>
      <w:r w:rsidR="00F20881" w:rsidRPr="00F20881">
        <w:rPr>
          <w:rFonts w:eastAsia="Times New Roman"/>
          <w:sz w:val="24"/>
          <w:szCs w:val="24"/>
          <w:highlight w:val="cyan"/>
          <w:lang w:val="pt-BR" w:eastAsia="zh-CN"/>
        </w:rPr>
        <w:t>e</w:t>
      </w:r>
      <w:r>
        <w:rPr>
          <w:rFonts w:eastAsia="Times New Roman"/>
          <w:sz w:val="24"/>
          <w:szCs w:val="24"/>
          <w:lang w:val="pt-BR" w:eastAsia="zh-CN"/>
        </w:rPr>
        <w:t xml:space="preserve"> comunidades que vivem ali há gerações. Como destaca Hage (2005), a realidade amazônica impõe ritmos de vida que a escola precisa reconhecer, sob pena de se tornar um espaço estranho aos seus sujeitos.</w:t>
      </w:r>
    </w:p>
    <w:p w14:paraId="00000012" w14:textId="672A2C08" w:rsidR="00F91BC5" w:rsidRDefault="00000000" w:rsidP="00F20881">
      <w:pPr>
        <w:spacing w:line="360" w:lineRule="auto"/>
        <w:ind w:firstLine="720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 w:eastAsia="zh-CN"/>
        </w:rPr>
        <w:t>Nesse contexto, a Educação de Jovens e Adultos (EJA) assume papel central. A</w:t>
      </w:r>
      <w:r w:rsidR="00F20881">
        <w:rPr>
          <w:rFonts w:eastAsia="Times New Roman"/>
          <w:sz w:val="24"/>
          <w:szCs w:val="24"/>
          <w:lang w:val="pt-BR" w:eastAsia="zh-CN"/>
        </w:rPr>
        <w:t xml:space="preserve"> </w:t>
      </w:r>
      <w:r w:rsidR="00F20881" w:rsidRPr="00F20881">
        <w:rPr>
          <w:rFonts w:eastAsia="Times New Roman"/>
          <w:sz w:val="24"/>
          <w:szCs w:val="24"/>
          <w:highlight w:val="cyan"/>
          <w:lang w:val="pt-BR" w:eastAsia="zh-CN"/>
        </w:rPr>
        <w:t>EJA a</w:t>
      </w:r>
      <w:r>
        <w:rPr>
          <w:rFonts w:eastAsia="Times New Roman"/>
          <w:sz w:val="24"/>
          <w:szCs w:val="24"/>
          <w:lang w:val="pt-BR" w:eastAsia="zh-CN"/>
        </w:rPr>
        <w:t>tende a um público que foi privado do acesso ou da continuidade escolar na idade regular em razão d</w:t>
      </w:r>
      <w:r w:rsidR="00F20881" w:rsidRPr="00F20881">
        <w:rPr>
          <w:rFonts w:eastAsia="Times New Roman"/>
          <w:sz w:val="24"/>
          <w:szCs w:val="24"/>
          <w:highlight w:val="cyan"/>
          <w:lang w:val="pt-BR" w:eastAsia="zh-CN"/>
        </w:rPr>
        <w:t>e</w:t>
      </w:r>
      <w:r>
        <w:rPr>
          <w:rFonts w:eastAsia="Times New Roman"/>
          <w:sz w:val="24"/>
          <w:szCs w:val="24"/>
          <w:lang w:val="pt-BR" w:eastAsia="zh-CN"/>
        </w:rPr>
        <w:t xml:space="preserve"> condições de vida, trabalho e da dinâmica territorial. São </w:t>
      </w:r>
      <w:r>
        <w:rPr>
          <w:rFonts w:eastAsia="Times New Roman"/>
          <w:sz w:val="24"/>
          <w:szCs w:val="24"/>
          <w:lang w:val="pt-BR" w:eastAsia="zh-CN"/>
        </w:rPr>
        <w:lastRenderedPageBreak/>
        <w:t>trabalhadores, pescadores artesanais, agricultores familiares, extrativistas de açaí, borracha e castanha-do-pará, artesãos, quilombolas e lideranças comunitárias que buscam na escola não apenas ler, escrever e calcular, mas também reconhecer direitos, fortalecer a identidade coletiva e participar de forma mais ativa da sociedade. Loureiro (1995) reforça essa compreensão ao analisar a cultura amazônica como um conjunto vivo de saberes e representações.</w:t>
      </w:r>
    </w:p>
    <w:p w14:paraId="00000013" w14:textId="6104DB73" w:rsidR="00F91BC5" w:rsidRDefault="00000000" w:rsidP="00F20881">
      <w:pPr>
        <w:spacing w:line="360" w:lineRule="auto"/>
        <w:ind w:firstLine="720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 w:eastAsia="zh-CN"/>
        </w:rPr>
        <w:t xml:space="preserve">A LDB define a EJA como modalidade para quem não teve acesso ou continuidade no ensino fundamental e médio na idade regular. Nas regiões ribeirinhas, ela exige formatos próprios. O primeiro ponto é o calendário. A vida local obedece ao ciclo das águas: cheia e vazante determinam </w:t>
      </w:r>
      <w:r w:rsidR="001F2936" w:rsidRPr="001F2936">
        <w:rPr>
          <w:rFonts w:eastAsia="Times New Roman"/>
          <w:sz w:val="24"/>
          <w:szCs w:val="24"/>
          <w:highlight w:val="cyan"/>
          <w:lang w:val="pt-BR" w:eastAsia="zh-CN"/>
        </w:rPr>
        <w:t>o</w:t>
      </w:r>
      <w:r w:rsidR="001F2936">
        <w:rPr>
          <w:rFonts w:eastAsia="Times New Roman"/>
          <w:sz w:val="24"/>
          <w:szCs w:val="24"/>
          <w:lang w:val="pt-BR" w:eastAsia="zh-CN"/>
        </w:rPr>
        <w:t xml:space="preserve"> </w:t>
      </w:r>
      <w:r>
        <w:rPr>
          <w:rFonts w:eastAsia="Times New Roman"/>
          <w:sz w:val="24"/>
          <w:szCs w:val="24"/>
          <w:lang w:val="pt-BR" w:eastAsia="zh-CN"/>
        </w:rPr>
        <w:t xml:space="preserve">plantio, </w:t>
      </w:r>
      <w:r w:rsidR="001F2936" w:rsidRPr="001F2936">
        <w:rPr>
          <w:rFonts w:eastAsia="Times New Roman"/>
          <w:sz w:val="24"/>
          <w:szCs w:val="24"/>
          <w:highlight w:val="cyan"/>
          <w:lang w:val="pt-BR" w:eastAsia="zh-CN"/>
        </w:rPr>
        <w:t>a</w:t>
      </w:r>
      <w:r w:rsidR="001F2936">
        <w:rPr>
          <w:rFonts w:eastAsia="Times New Roman"/>
          <w:sz w:val="24"/>
          <w:szCs w:val="24"/>
          <w:lang w:val="pt-BR" w:eastAsia="zh-CN"/>
        </w:rPr>
        <w:t xml:space="preserve"> </w:t>
      </w:r>
      <w:r>
        <w:rPr>
          <w:rFonts w:eastAsia="Times New Roman"/>
          <w:sz w:val="24"/>
          <w:szCs w:val="24"/>
          <w:lang w:val="pt-BR" w:eastAsia="zh-CN"/>
        </w:rPr>
        <w:t xml:space="preserve">colheita, </w:t>
      </w:r>
      <w:r w:rsidR="001F2936" w:rsidRPr="001F2936">
        <w:rPr>
          <w:rFonts w:eastAsia="Times New Roman"/>
          <w:sz w:val="24"/>
          <w:szCs w:val="24"/>
          <w:highlight w:val="cyan"/>
          <w:lang w:val="pt-BR" w:eastAsia="zh-CN"/>
        </w:rPr>
        <w:t>a</w:t>
      </w:r>
      <w:r w:rsidR="001F2936">
        <w:rPr>
          <w:rFonts w:eastAsia="Times New Roman"/>
          <w:sz w:val="24"/>
          <w:szCs w:val="24"/>
          <w:lang w:val="pt-BR" w:eastAsia="zh-CN"/>
        </w:rPr>
        <w:t xml:space="preserve"> </w:t>
      </w:r>
      <w:r>
        <w:rPr>
          <w:rFonts w:eastAsia="Times New Roman"/>
          <w:sz w:val="24"/>
          <w:szCs w:val="24"/>
          <w:lang w:val="pt-BR" w:eastAsia="zh-CN"/>
        </w:rPr>
        <w:t xml:space="preserve">pesca e </w:t>
      </w:r>
      <w:r w:rsidR="001F2936" w:rsidRPr="001F2936">
        <w:rPr>
          <w:rFonts w:eastAsia="Times New Roman"/>
          <w:sz w:val="24"/>
          <w:szCs w:val="24"/>
          <w:highlight w:val="cyan"/>
          <w:lang w:val="pt-BR" w:eastAsia="zh-CN"/>
        </w:rPr>
        <w:t>o</w:t>
      </w:r>
      <w:r w:rsidR="001F2936">
        <w:rPr>
          <w:rFonts w:eastAsia="Times New Roman"/>
          <w:sz w:val="24"/>
          <w:szCs w:val="24"/>
          <w:lang w:val="pt-BR" w:eastAsia="zh-CN"/>
        </w:rPr>
        <w:t xml:space="preserve"> </w:t>
      </w:r>
      <w:r>
        <w:rPr>
          <w:rFonts w:eastAsia="Times New Roman"/>
          <w:sz w:val="24"/>
          <w:szCs w:val="24"/>
          <w:lang w:val="pt-BR" w:eastAsia="zh-CN"/>
        </w:rPr>
        <w:t>deslocamento. O calendário escolar rígido e nacional não se aplica. É necessário um calendário flexível, construído com a comunidade, conciliando estudo e trabalho.</w:t>
      </w:r>
    </w:p>
    <w:p w14:paraId="00000014" w14:textId="77777777" w:rsidR="00F91BC5" w:rsidRDefault="00000000" w:rsidP="00F20881">
      <w:pPr>
        <w:spacing w:line="360" w:lineRule="auto"/>
        <w:ind w:firstLine="720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 w:eastAsia="zh-CN"/>
        </w:rPr>
        <w:t>A organização do ensino também precisa de adequada, Muitas escolas são pequenas, em palafitas ou de difícil acesso, e funcionam em regime multisseriado, com alunos de diferentes idades e níveis na mesma sala. O professor precisa elaborar planos diferenciados. O transporte escolar fluvial é outro grande desafio. Em municípios como Igarapé-miri, estudantes passam horas de barco ou canoa, enfrentando correnteza, chuva e falta de combustível. Isso leva à concentração de aulas em poucos dias ou ao sistema de alternância, com atividades presenciais e domiciliares com material impresso, já que a internet ainda é precária.</w:t>
      </w:r>
    </w:p>
    <w:p w14:paraId="00000015" w14:textId="77777777" w:rsidR="00F91BC5" w:rsidRDefault="00000000" w:rsidP="00F20881">
      <w:pPr>
        <w:spacing w:line="360" w:lineRule="auto"/>
        <w:ind w:firstLine="720"/>
        <w:jc w:val="both"/>
        <w:rPr>
          <w:rFonts w:eastAsia="Times New Roman"/>
          <w:sz w:val="24"/>
          <w:szCs w:val="24"/>
          <w:lang w:val="pt-BR" w:eastAsia="zh-CN"/>
        </w:rPr>
      </w:pPr>
      <w:r>
        <w:rPr>
          <w:rFonts w:eastAsia="Times New Roman"/>
          <w:sz w:val="24"/>
          <w:szCs w:val="24"/>
          <w:lang w:val="pt-BR" w:eastAsia="zh-CN"/>
        </w:rPr>
        <w:t>O currículo é estratégico e deve ser construído coletivamente, com base na contextualização e no respeito aos saberes do campo, das águas e das florestas. Os conteúdos não podem ser abstratos. O ponto de partida são os conhecimentos que os estudantes já trazem: ciclos dos peixes, técnicas de navegação, manejo da terra e da floresta, conservação de alimentos, mitos, uso de plantas medicinais e manifestações culturais. Esses saberes têm o mesmo valor que os conhecimentos científicos. Na prática, a matemática pode usar medidas de pesca e preços de comercialização; a geografia pode estudar bacias hidrográficas; a língua portuguesa pode valorizar a oralidade e as narrativas locais.</w:t>
      </w:r>
    </w:p>
    <w:p w14:paraId="00000016" w14:textId="77777777" w:rsidR="00F91BC5" w:rsidRDefault="00000000" w:rsidP="00F20881">
      <w:pPr>
        <w:spacing w:line="360" w:lineRule="auto"/>
        <w:ind w:firstLine="720"/>
        <w:jc w:val="both"/>
        <w:rPr>
          <w:rFonts w:eastAsia="Times New Roman"/>
          <w:sz w:val="24"/>
          <w:szCs w:val="24"/>
          <w:lang w:val="pt-BR" w:eastAsia="zh-CN"/>
        </w:rPr>
      </w:pPr>
      <w:r>
        <w:rPr>
          <w:rFonts w:eastAsia="Times New Roman"/>
          <w:sz w:val="24"/>
          <w:szCs w:val="24"/>
          <w:lang w:val="pt-BR" w:eastAsia="zh-CN"/>
        </w:rPr>
        <w:t xml:space="preserve">Apesar dos avanços, a EJA ribeirinha enfrenta obstáculos. Falta formação inicial e continuada específica para professores que atuam nessas regiões. Muitos educadores são da própria comunidade, o que aproxima da realidade, mas carecem </w:t>
      </w:r>
      <w:r>
        <w:rPr>
          <w:rFonts w:eastAsia="Times New Roman"/>
          <w:sz w:val="24"/>
          <w:szCs w:val="24"/>
          <w:lang w:val="pt-BR" w:eastAsia="zh-CN"/>
        </w:rPr>
        <w:lastRenderedPageBreak/>
        <w:t xml:space="preserve">de preparo para lidar com a diversidade etária e com a educação contextualizada. Há escassez de materiais didáticos que falem da Amazônia, de energia estável, de bibliotecas e de infraestrutura adequada: salas pequenas, sem ventilação, sem saneamento e sem espaço para atividades práticas. </w:t>
      </w:r>
    </w:p>
    <w:p w14:paraId="00000017" w14:textId="77777777" w:rsidR="00F91BC5" w:rsidRDefault="00000000" w:rsidP="00F20881">
      <w:pPr>
        <w:spacing w:line="360" w:lineRule="auto"/>
        <w:ind w:firstLine="720"/>
        <w:jc w:val="both"/>
        <w:rPr>
          <w:rFonts w:eastAsia="Times New Roman"/>
          <w:sz w:val="24"/>
          <w:szCs w:val="24"/>
          <w:lang w:val="pt-BR" w:eastAsia="zh-CN"/>
        </w:rPr>
      </w:pPr>
      <w:r>
        <w:rPr>
          <w:rFonts w:eastAsia="Times New Roman"/>
          <w:sz w:val="24"/>
          <w:szCs w:val="24"/>
          <w:lang w:val="pt-BR" w:eastAsia="zh-CN"/>
        </w:rPr>
        <w:t>A permanência também é um problema. Muitos estudantes abandonam ou interrompem os estudos para complementar a renda, pela dificuldade de locomoção ou pela falta de uma proposta pedagógica significativa. A evasão resulta da combinação de fatores econômicos, geográficos e da forma como a educação é ofertada. São urgentes políticas públicas consistentes: transporte escolar fluvial, melhoria da infraestrutura, formação docente, materiais próprios, valorização dos profissionais e apoio à alimentação escolar.</w:t>
      </w:r>
    </w:p>
    <w:p w14:paraId="00000018" w14:textId="1B62AF18" w:rsidR="00F91BC5" w:rsidRDefault="00000000" w:rsidP="00F20881">
      <w:pPr>
        <w:spacing w:line="360" w:lineRule="auto"/>
        <w:ind w:firstLine="720"/>
        <w:jc w:val="both"/>
        <w:rPr>
          <w:rFonts w:eastAsia="Times New Roman"/>
          <w:sz w:val="24"/>
          <w:szCs w:val="24"/>
          <w:lang w:val="pt-BR" w:eastAsia="zh-CN"/>
        </w:rPr>
      </w:pPr>
      <w:r>
        <w:rPr>
          <w:rFonts w:eastAsia="Times New Roman"/>
          <w:sz w:val="24"/>
          <w:szCs w:val="24"/>
          <w:lang w:val="pt-BR" w:eastAsia="zh-CN"/>
        </w:rPr>
        <w:t xml:space="preserve">A importância da EJA </w:t>
      </w:r>
      <w:r w:rsidR="00EA1B4E">
        <w:rPr>
          <w:rFonts w:eastAsia="Times New Roman"/>
          <w:sz w:val="24"/>
          <w:szCs w:val="24"/>
          <w:lang w:val="pt-BR" w:eastAsia="zh-CN"/>
        </w:rPr>
        <w:t>em</w:t>
      </w:r>
      <w:r>
        <w:rPr>
          <w:rFonts w:eastAsia="Times New Roman"/>
          <w:sz w:val="24"/>
          <w:szCs w:val="24"/>
          <w:lang w:val="pt-BR" w:eastAsia="zh-CN"/>
        </w:rPr>
        <w:t xml:space="preserve"> áreas ribeirinhas vai além da certificação. Representa reparação histórica. Esses povos foram invisibilizados por políticas públicas e marcados por preconceitos. Uma educação de qualidade, acessível e culturalmente adequada valoriza a identidade ribeirinha, fortalece a organização comunitária e incentiva o desenvolvimento sustentável. O estudante da EJA passa a compreender melhor questões ambientais, a reivindicar direitos e a agregar valor ao seu trabalho. </w:t>
      </w:r>
    </w:p>
    <w:p w14:paraId="00000019" w14:textId="1A71DAFE" w:rsidR="00F91BC5" w:rsidRDefault="00000000" w:rsidP="00F20881">
      <w:pPr>
        <w:spacing w:line="360" w:lineRule="auto"/>
        <w:ind w:firstLine="720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 w:eastAsia="zh-CN"/>
        </w:rPr>
        <w:t xml:space="preserve">Em síntese, a EJA </w:t>
      </w:r>
      <w:r w:rsidR="00EA1B4E">
        <w:rPr>
          <w:rFonts w:eastAsia="Times New Roman"/>
          <w:sz w:val="24"/>
          <w:szCs w:val="24"/>
          <w:lang w:val="pt-BR" w:eastAsia="zh-CN"/>
        </w:rPr>
        <w:t>em</w:t>
      </w:r>
      <w:r>
        <w:rPr>
          <w:rFonts w:eastAsia="Times New Roman"/>
          <w:sz w:val="24"/>
          <w:szCs w:val="24"/>
          <w:lang w:val="pt-BR" w:eastAsia="zh-CN"/>
        </w:rPr>
        <w:t xml:space="preserve"> áreas ribeirinhas desafia modelos tradicionais e exige escuta e diálogo com a realidade local. Não se trata de levar uma escola pronta da cidade para o rio, mas de construir, junto com o povo, uma escola nascida de sua realidade, de seus saberes e de suas necessidades. Mesmo diante de distâncias, precariedade material e falta de investimento, ela se afirma como ferramenta poderosa de transformação social e de fortalecimento da cidadania.</w:t>
      </w:r>
    </w:p>
    <w:p w14:paraId="0000001A" w14:textId="77777777" w:rsidR="00F91BC5" w:rsidRDefault="00F91BC5" w:rsidP="00F20881">
      <w:pPr>
        <w:spacing w:after="160"/>
        <w:jc w:val="both"/>
        <w:rPr>
          <w:lang w:val="pt-BR"/>
        </w:rPr>
      </w:pPr>
    </w:p>
    <w:p w14:paraId="0000001B" w14:textId="77777777" w:rsidR="00F91BC5" w:rsidRDefault="00000000" w:rsidP="00F20881">
      <w:pPr>
        <w:spacing w:after="160"/>
        <w:jc w:val="both"/>
        <w:rPr>
          <w:lang w:val="pt-BR"/>
        </w:rPr>
      </w:pPr>
      <w:r>
        <w:rPr>
          <w:rFonts w:eastAsia="Times New Roman"/>
          <w:b/>
          <w:sz w:val="24"/>
          <w:szCs w:val="24"/>
          <w:lang w:val="pt-BR" w:eastAsia="zh-CN"/>
        </w:rPr>
        <w:t>PALAVRAS-CHAVE:</w:t>
      </w:r>
      <w:r>
        <w:rPr>
          <w:rFonts w:eastAsia="Times New Roman"/>
          <w:sz w:val="24"/>
          <w:szCs w:val="24"/>
          <w:lang w:val="pt-BR" w:eastAsia="zh-CN"/>
        </w:rPr>
        <w:t xml:space="preserve"> </w:t>
      </w:r>
    </w:p>
    <w:p w14:paraId="0000001C" w14:textId="77777777" w:rsidR="00F91BC5" w:rsidRDefault="00000000" w:rsidP="00F20881">
      <w:pPr>
        <w:spacing w:after="160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 w:eastAsia="zh-CN"/>
        </w:rPr>
        <w:t>Educação Ribeirinha; Educação de Jovens e Adultos; Saberes do Campo, das Águas e das Florestas; Comunidades.</w:t>
      </w:r>
    </w:p>
    <w:p w14:paraId="0000001D" w14:textId="77777777" w:rsidR="00F91BC5" w:rsidRDefault="00F91BC5" w:rsidP="00F20881">
      <w:pPr>
        <w:spacing w:after="160"/>
        <w:jc w:val="both"/>
        <w:rPr>
          <w:lang w:val="pt-BR"/>
        </w:rPr>
      </w:pPr>
    </w:p>
    <w:p w14:paraId="0000001E" w14:textId="77777777" w:rsidR="00F91BC5" w:rsidRDefault="00F91BC5" w:rsidP="00F20881">
      <w:pPr>
        <w:spacing w:after="160"/>
        <w:jc w:val="both"/>
        <w:rPr>
          <w:b/>
          <w:lang w:val="pt-BR"/>
        </w:rPr>
      </w:pPr>
    </w:p>
    <w:p w14:paraId="0000001F" w14:textId="77777777" w:rsidR="00F91BC5" w:rsidRDefault="00000000" w:rsidP="00F20881">
      <w:pPr>
        <w:spacing w:after="160"/>
        <w:jc w:val="both"/>
        <w:rPr>
          <w:b/>
          <w:lang w:val="pt-BR"/>
        </w:rPr>
      </w:pPr>
      <w:r>
        <w:rPr>
          <w:rFonts w:eastAsia="Times New Roman"/>
          <w:b/>
          <w:sz w:val="24"/>
          <w:szCs w:val="24"/>
          <w:lang w:val="pt-BR" w:eastAsia="zh-CN"/>
        </w:rPr>
        <w:t>REFERÊNCIAS</w:t>
      </w:r>
    </w:p>
    <w:p w14:paraId="00000020" w14:textId="77777777" w:rsidR="00F91BC5" w:rsidRDefault="00000000" w:rsidP="00F20881">
      <w:pPr>
        <w:spacing w:after="160"/>
        <w:jc w:val="both"/>
        <w:rPr>
          <w:lang w:val="pt-BR"/>
        </w:rPr>
      </w:pPr>
      <w:r>
        <w:rPr>
          <w:rFonts w:eastAsia="Times New Roman"/>
          <w:lang w:val="pt-BR" w:eastAsia="zh-CN"/>
        </w:rPr>
        <w:lastRenderedPageBreak/>
        <w:t xml:space="preserve">BRASIL. Lei de Diretrizes e Bases da Educação Nacional. Lei nº 9.394, de 20 de dezembro de 1996. Brasília: MEC, 1996.  </w:t>
      </w:r>
    </w:p>
    <w:p w14:paraId="00000021" w14:textId="77777777" w:rsidR="00F91BC5" w:rsidRDefault="00000000" w:rsidP="00F20881">
      <w:pPr>
        <w:spacing w:after="160"/>
        <w:jc w:val="both"/>
        <w:rPr>
          <w:lang w:val="pt-BR"/>
        </w:rPr>
      </w:pPr>
      <w:r>
        <w:rPr>
          <w:rFonts w:eastAsia="Times New Roman"/>
          <w:lang w:val="pt-BR" w:eastAsia="zh-CN"/>
        </w:rPr>
        <w:t xml:space="preserve">BRASIL. Parecer CNE/CEB nº 23/2008. Diretrizes complementares para a Educação de Jovens e Adultos.  </w:t>
      </w:r>
    </w:p>
    <w:p w14:paraId="00000022" w14:textId="77777777" w:rsidR="00F91BC5" w:rsidRDefault="00000000" w:rsidP="00F20881">
      <w:pPr>
        <w:spacing w:after="160"/>
        <w:jc w:val="both"/>
        <w:rPr>
          <w:lang w:val="pt-BR"/>
        </w:rPr>
      </w:pPr>
      <w:r>
        <w:rPr>
          <w:rFonts w:eastAsia="Times New Roman"/>
          <w:lang w:val="pt-BR" w:eastAsia="zh-CN"/>
        </w:rPr>
        <w:t xml:space="preserve">HAGE, Salomão Mufarrej. Educação do Campo na Amazônia: Retratos de realidade das escolas multisseriadas no Pará. Belém: UFPA.  </w:t>
      </w:r>
    </w:p>
    <w:p w14:paraId="00000023" w14:textId="77777777" w:rsidR="00F91BC5" w:rsidRDefault="00000000" w:rsidP="00F20881">
      <w:pPr>
        <w:spacing w:after="160"/>
        <w:jc w:val="both"/>
        <w:rPr>
          <w:lang w:val="pt-BR"/>
        </w:rPr>
      </w:pPr>
      <w:r>
        <w:rPr>
          <w:rFonts w:eastAsia="Times New Roman"/>
          <w:lang w:val="pt-BR" w:eastAsia="zh-CN"/>
        </w:rPr>
        <w:t>LOUREIRO, João de Jesus Paes. Cultura Amazônica: Uma poética do imaginário. Belém: Cejup, 1995.</w:t>
      </w:r>
    </w:p>
    <w:p w14:paraId="00000024" w14:textId="77777777" w:rsidR="00F91BC5" w:rsidRDefault="00F91BC5" w:rsidP="00F20881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00000025" w14:textId="77777777" w:rsidR="00F91BC5" w:rsidRDefault="00F91BC5" w:rsidP="00F20881">
      <w:pPr>
        <w:jc w:val="both"/>
      </w:pPr>
    </w:p>
    <w:p w14:paraId="00000026" w14:textId="77777777" w:rsidR="00F91BC5" w:rsidRDefault="00F91BC5" w:rsidP="00F20881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F91BC5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640ED" w14:textId="77777777" w:rsidR="00A25F38" w:rsidRDefault="00A25F38">
      <w:pPr>
        <w:spacing w:line="240" w:lineRule="auto"/>
      </w:pPr>
      <w:r>
        <w:separator/>
      </w:r>
    </w:p>
  </w:endnote>
  <w:endnote w:type="continuationSeparator" w:id="0">
    <w:p w14:paraId="28F30DDE" w14:textId="77777777" w:rsidR="00A25F38" w:rsidRDefault="00A25F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1D03437-9E2D-41C2-B232-FF552EEEA441}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F8EA916-F202-4006-828E-D23E2D6D2BBF}"/>
    <w:embedBold r:id="rId3" w:fontKey="{9D067FD9-2BF5-488C-813F-694FB5E1338C}"/>
    <w:embedItalic r:id="rId4" w:fontKey="{7357BF90-F3B9-42DC-A9CE-3B4B135A9152}"/>
    <w:embedBoldItalic r:id="rId5" w:fontKey="{F3BA81D9-6C12-4FE0-AA39-E8C95BFF8A8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A034583-02A4-4680-A59A-C942CB89B37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C" w14:textId="77777777" w:rsidR="00F91BC5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D" w14:textId="77777777" w:rsidR="00F91BC5" w:rsidRDefault="00F91B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4685C" w14:textId="77777777" w:rsidR="00A25F38" w:rsidRDefault="00A25F38">
      <w:r>
        <w:separator/>
      </w:r>
    </w:p>
  </w:footnote>
  <w:footnote w:type="continuationSeparator" w:id="0">
    <w:p w14:paraId="3F12566E" w14:textId="77777777" w:rsidR="00A25F38" w:rsidRDefault="00A25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7" w14:textId="77777777" w:rsidR="00F91BC5" w:rsidRDefault="00000000">
    <w:pPr>
      <w:jc w:val="right"/>
    </w:pPr>
    <w:r>
      <w:rPr>
        <w:noProof/>
      </w:rPr>
      <w:drawing>
        <wp:anchor distT="114300" distB="114300" distL="114300" distR="114300" simplePos="0" relativeHeight="251654656" behindDoc="1" locked="0" layoutInCell="1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530" cy="1700530"/>
          <wp:effectExtent l="0" t="0" r="0" b="0"/>
          <wp:wrapNone/>
          <wp:docPr id="7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530" cy="1700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5680" behindDoc="1" locked="0" layoutInCell="1" allowOverlap="1">
          <wp:simplePos x="0" y="0"/>
          <wp:positionH relativeFrom="column">
            <wp:posOffset>5791200</wp:posOffset>
          </wp:positionH>
          <wp:positionV relativeFrom="paragraph">
            <wp:posOffset>-304165</wp:posOffset>
          </wp:positionV>
          <wp:extent cx="664845" cy="762000"/>
          <wp:effectExtent l="0" t="0" r="0" b="0"/>
          <wp:wrapNone/>
          <wp:docPr id="8" name="image3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/>
                  <pic:cNvPicPr preferRelativeResize="0"/>
                </pic:nvPicPr>
                <pic:blipFill>
                  <a:blip r:embed="rId2"/>
                  <a:srcRect t="235" b="235"/>
                  <a:stretch/>
                </pic:blipFill>
                <pic:spPr>
                  <a:xfrm>
                    <a:off x="0" y="0"/>
                    <a:ext cx="664845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28" w14:textId="77777777" w:rsidR="00F91BC5" w:rsidRDefault="00F91BC5">
    <w:pPr>
      <w:jc w:val="right"/>
    </w:pPr>
  </w:p>
  <w:p w14:paraId="00000029" w14:textId="77777777" w:rsidR="00F91BC5" w:rsidRDefault="00F91BC5">
    <w:pPr>
      <w:jc w:val="right"/>
    </w:pPr>
  </w:p>
  <w:p w14:paraId="0000002A" w14:textId="77777777" w:rsidR="00F91BC5" w:rsidRDefault="00000000">
    <w:r>
      <w:rPr>
        <w:noProof/>
      </w:rPr>
      <w:drawing>
        <wp:anchor distT="114300" distB="114300" distL="114300" distR="114300" simplePos="0" relativeHeight="25165670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-5080</wp:posOffset>
          </wp:positionV>
          <wp:extent cx="416560" cy="10716895"/>
          <wp:effectExtent l="0" t="0" r="0" b="0"/>
          <wp:wrapNone/>
          <wp:docPr id="9" name="image2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560" cy="10716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B" w14:textId="77777777" w:rsidR="00F91BC5" w:rsidRDefault="00F91BC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174D6"/>
    <w:multiLevelType w:val="hybridMultilevel"/>
    <w:tmpl w:val="1ADA6B18"/>
    <w:lvl w:ilvl="0" w:tplc="083A04AC">
      <w:start w:val="1"/>
      <w:numFmt w:val="decimal"/>
      <w:lvlText w:val="%1."/>
      <w:lvlJc w:val="left"/>
      <w:pPr>
        <w:ind w:left="1440" w:hanging="360"/>
      </w:pPr>
    </w:lvl>
    <w:lvl w:ilvl="1" w:tplc="88DE1880" w:tentative="1">
      <w:start w:val="1"/>
      <w:numFmt w:val="lowerLetter"/>
      <w:lvlText w:val="%2."/>
      <w:lvlJc w:val="left"/>
      <w:pPr>
        <w:ind w:left="2160" w:hanging="360"/>
      </w:pPr>
    </w:lvl>
    <w:lvl w:ilvl="2" w:tplc="6082F726" w:tentative="1">
      <w:start w:val="1"/>
      <w:numFmt w:val="lowerRoman"/>
      <w:lvlText w:val="%3."/>
      <w:lvlJc w:val="right"/>
      <w:pPr>
        <w:ind w:left="2880" w:hanging="180"/>
      </w:pPr>
    </w:lvl>
    <w:lvl w:ilvl="3" w:tplc="009488F8" w:tentative="1">
      <w:start w:val="1"/>
      <w:numFmt w:val="decimal"/>
      <w:lvlText w:val="%4."/>
      <w:lvlJc w:val="left"/>
      <w:pPr>
        <w:ind w:left="3600" w:hanging="360"/>
      </w:pPr>
    </w:lvl>
    <w:lvl w:ilvl="4" w:tplc="1C2C1E4C" w:tentative="1">
      <w:start w:val="1"/>
      <w:numFmt w:val="lowerLetter"/>
      <w:lvlText w:val="%5."/>
      <w:lvlJc w:val="left"/>
      <w:pPr>
        <w:ind w:left="4320" w:hanging="360"/>
      </w:pPr>
    </w:lvl>
    <w:lvl w:ilvl="5" w:tplc="9354A190" w:tentative="1">
      <w:start w:val="1"/>
      <w:numFmt w:val="lowerRoman"/>
      <w:lvlText w:val="%6."/>
      <w:lvlJc w:val="right"/>
      <w:pPr>
        <w:ind w:left="5040" w:hanging="180"/>
      </w:pPr>
    </w:lvl>
    <w:lvl w:ilvl="6" w:tplc="9738B95E" w:tentative="1">
      <w:start w:val="1"/>
      <w:numFmt w:val="decimal"/>
      <w:lvlText w:val="%7."/>
      <w:lvlJc w:val="left"/>
      <w:pPr>
        <w:ind w:left="5760" w:hanging="360"/>
      </w:pPr>
    </w:lvl>
    <w:lvl w:ilvl="7" w:tplc="0130F8D0" w:tentative="1">
      <w:start w:val="1"/>
      <w:numFmt w:val="lowerLetter"/>
      <w:lvlText w:val="%8."/>
      <w:lvlJc w:val="left"/>
      <w:pPr>
        <w:ind w:left="6480" w:hanging="360"/>
      </w:pPr>
    </w:lvl>
    <w:lvl w:ilvl="8" w:tplc="0C649C0A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07871B9"/>
    <w:multiLevelType w:val="hybridMultilevel"/>
    <w:tmpl w:val="2006E15A"/>
    <w:lvl w:ilvl="0" w:tplc="C382DF2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A4CC11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C756E62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C9C17E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EACEB8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122FF9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F76A8E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58244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A122FF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9633348">
    <w:abstractNumId w:val="0"/>
  </w:num>
  <w:num w:numId="2" w16cid:durableId="179202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54A"/>
    <w:rsid w:val="00033C2B"/>
    <w:rsid w:val="000E0B5B"/>
    <w:rsid w:val="001F2936"/>
    <w:rsid w:val="00230ED3"/>
    <w:rsid w:val="003A427D"/>
    <w:rsid w:val="00524F83"/>
    <w:rsid w:val="006C474F"/>
    <w:rsid w:val="006D1847"/>
    <w:rsid w:val="0081422E"/>
    <w:rsid w:val="008743F9"/>
    <w:rsid w:val="009C6321"/>
    <w:rsid w:val="00A25F38"/>
    <w:rsid w:val="00AF2A09"/>
    <w:rsid w:val="00BB2478"/>
    <w:rsid w:val="00CC054A"/>
    <w:rsid w:val="00D239AD"/>
    <w:rsid w:val="00E578ED"/>
    <w:rsid w:val="00EA1B4E"/>
    <w:rsid w:val="00F20881"/>
    <w:rsid w:val="00F91BC5"/>
    <w:rsid w:val="2F165D75"/>
    <w:rsid w:val="6C5B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31A4C"/>
  <w15:docId w15:val="{26F079AC-B33D-40AD-8556-1C56FC391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Aptos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zh-C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link w:val="Ttu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link w:val="Ttu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F81BD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F81BD" w:themeColor="accent1"/>
    </w:rPr>
  </w:style>
  <w:style w:type="character" w:styleId="RefernciaSutil">
    <w:name w:val="Subtle Reference"/>
    <w:uiPriority w:val="31"/>
    <w:qFormat/>
    <w:rPr>
      <w:smallCaps/>
      <w:color w:val="C0504D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character" w:styleId="HiperlinkVisitado">
    <w:name w:val="FollowedHyperlink"/>
    <w:uiPriority w:val="99"/>
    <w:semiHidden/>
    <w:unhideWhenUsed/>
    <w:rPr>
      <w:color w:val="800080" w:themeColor="followedHyperlink"/>
      <w:u w:val="single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pPr>
      <w:spacing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pPr>
      <w:spacing w:line="240" w:lineRule="auto"/>
    </w:pPr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spacing w:line="240" w:lineRule="auto"/>
    </w:pPr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TableNormal">
    <w:name w:val="TableNormal"/>
    <w:uiPriority w:val="99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rFonts w:ascii="Arial" w:eastAsia="Arial" w:hAnsi="Arial" w:cs="Arial"/>
      <w:lang w:val="zh-C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rPr>
      <w:rFonts w:ascii="Arial" w:eastAsia="Arial" w:hAnsi="Arial" w:cs="Arial"/>
      <w:b/>
      <w:bCs/>
      <w:lang w:val="zh-CN"/>
    </w:rPr>
  </w:style>
  <w:style w:type="paragraph" w:styleId="PargrafodaLista">
    <w:name w:val="List Paragraph"/>
    <w:basedOn w:val="Normal"/>
    <w:uiPriority w:val="99"/>
    <w:unhideWhenUsed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ianyufpa98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aymelo002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1028</Words>
  <Characters>5556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</dc:creator>
  <cp:lastModifiedBy>Jacqueline Freire</cp:lastModifiedBy>
  <cp:revision>3</cp:revision>
  <dcterms:created xsi:type="dcterms:W3CDTF">2026-08-16T17:34:00Z</dcterms:created>
  <dcterms:modified xsi:type="dcterms:W3CDTF">2026-08-16T17:34:00Z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eyJoZGlkIjoiNTUxNWE5NzcxNTI3MmY0N2I0Zjk3ZjAyNzM1YzAzZWIiLCJ1c2VySWQiOiIxMjM2OTUyODYwNDkyIn0=</vt:lpwstr>
  </property>
  <property fmtid="{D5CDD505-2E9C-101B-9397-08002B2CF9AE}" pid="3" name="KSOProductBuildVer">
    <vt:lpwstr>1046-12.1.0.27458</vt:lpwstr>
  </property>
  <property fmtid="{D5CDD505-2E9C-101B-9397-08002B2CF9AE}" pid="4" name="ICV">
    <vt:lpwstr>A46E5CA4F61A451D8708C62BC3201E9A_12</vt:lpwstr>
  </property>
</Properties>
</file>