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B0BE" w14:textId="304579A0" w:rsidR="00F00DD3" w:rsidRDefault="006E64B9" w:rsidP="006E64B9">
      <w:pPr>
        <w:keepLines/>
        <w:widowControl w:val="0"/>
        <w:spacing w:line="240" w:lineRule="auto"/>
        <w:jc w:val="center"/>
        <w:rPr>
          <w:b/>
          <w:bCs/>
          <w:sz w:val="24"/>
          <w:szCs w:val="24"/>
        </w:rPr>
      </w:pPr>
      <w:r w:rsidRPr="006E64B9">
        <w:rPr>
          <w:b/>
          <w:bCs/>
          <w:sz w:val="24"/>
          <w:szCs w:val="24"/>
        </w:rPr>
        <w:t>CONVERSATÓRIO 7 - EDUCAÇÃO ANTIRRACISTA NA EDUCAÇÃO BÁSICA: EDUCANDO PARA AS RELAÇÕES ÉTNICO-RACIAIS</w:t>
      </w:r>
      <w:r w:rsidR="00A45EF2" w:rsidRPr="008A4371">
        <w:t xml:space="preserve"> </w:t>
      </w:r>
    </w:p>
    <w:p w14:paraId="430958E4" w14:textId="77777777" w:rsidR="00F00DD3" w:rsidRDefault="00F00DD3">
      <w:pPr>
        <w:keepLines/>
        <w:widowControl w:val="0"/>
        <w:spacing w:line="240" w:lineRule="auto"/>
        <w:rPr>
          <w:b/>
          <w:bCs/>
          <w:sz w:val="24"/>
          <w:szCs w:val="24"/>
        </w:rPr>
      </w:pPr>
    </w:p>
    <w:p w14:paraId="57707310" w14:textId="0E921DBE" w:rsidR="00B85E6C" w:rsidRPr="002768E8" w:rsidRDefault="00B85E6C" w:rsidP="007A3AD4">
      <w:pPr>
        <w:spacing w:line="240" w:lineRule="auto"/>
        <w:jc w:val="center"/>
        <w:rPr>
          <w:b/>
          <w:bCs/>
          <w:sz w:val="24"/>
          <w:szCs w:val="24"/>
        </w:rPr>
      </w:pPr>
      <w:r w:rsidRPr="002768E8">
        <w:rPr>
          <w:b/>
          <w:bCs/>
          <w:sz w:val="24"/>
          <w:szCs w:val="24"/>
        </w:rPr>
        <w:t>VIVA – Valorização das Identidades, Vivências e Ancestralidades: Uma proposta de Educação Empreendedora para Relações Étnico-Raciais e Saberes Afro-brasileiros e Indígenas.</w:t>
      </w:r>
    </w:p>
    <w:p w14:paraId="58A40402" w14:textId="0FFB095A" w:rsidR="00F00DD3" w:rsidRDefault="00F00DD3">
      <w:pPr>
        <w:keepLines/>
        <w:widowControl w:val="0"/>
        <w:spacing w:line="240" w:lineRule="auto"/>
        <w:jc w:val="center"/>
        <w:rPr>
          <w:b/>
          <w:bCs/>
          <w:sz w:val="24"/>
          <w:szCs w:val="24"/>
        </w:rPr>
      </w:pPr>
    </w:p>
    <w:p w14:paraId="36EE76D0" w14:textId="77777777" w:rsidR="00F00DD3" w:rsidRDefault="00F00DD3">
      <w:pPr>
        <w:keepLines/>
        <w:widowControl w:val="0"/>
        <w:spacing w:line="240" w:lineRule="auto"/>
        <w:jc w:val="right"/>
        <w:rPr>
          <w:sz w:val="24"/>
          <w:szCs w:val="24"/>
        </w:rPr>
      </w:pPr>
    </w:p>
    <w:p w14:paraId="6A5FEC27" w14:textId="5877824C" w:rsidR="00F00DD3" w:rsidRPr="007A6F0F" w:rsidRDefault="00A241AC" w:rsidP="00436834">
      <w:pPr>
        <w:keepLines/>
        <w:widowControl w:val="0"/>
        <w:spacing w:line="240" w:lineRule="auto"/>
        <w:jc w:val="right"/>
        <w:rPr>
          <w:sz w:val="24"/>
          <w:szCs w:val="24"/>
        </w:rPr>
      </w:pPr>
      <w:r w:rsidRPr="007A6F0F">
        <w:rPr>
          <w:sz w:val="24"/>
          <w:szCs w:val="24"/>
        </w:rPr>
        <w:t>Nara Liane Ávila Prieto Silveira, Educare CDE Ltda</w:t>
      </w:r>
      <w:r w:rsidR="00CA51AE" w:rsidRPr="007A6F0F">
        <w:rPr>
          <w:sz w:val="24"/>
          <w:szCs w:val="24"/>
        </w:rPr>
        <w:t xml:space="preserve">, </w:t>
      </w:r>
      <w:hyperlink r:id="rId6" w:history="1">
        <w:r w:rsidR="00CA51AE" w:rsidRPr="007A6F0F">
          <w:rPr>
            <w:rStyle w:val="Hyperlink"/>
            <w:color w:val="auto"/>
            <w:sz w:val="24"/>
            <w:szCs w:val="24"/>
            <w:u w:val="none"/>
          </w:rPr>
          <w:t>naradaeducare@gmail.com</w:t>
        </w:r>
      </w:hyperlink>
    </w:p>
    <w:p w14:paraId="7CF382C2" w14:textId="40267B6B" w:rsidR="00F00DD3" w:rsidRPr="007A6F0F" w:rsidRDefault="00ED0E5E" w:rsidP="00436834">
      <w:pPr>
        <w:keepLines/>
        <w:widowControl w:val="0"/>
        <w:spacing w:line="240" w:lineRule="auto"/>
        <w:jc w:val="right"/>
        <w:rPr>
          <w:sz w:val="24"/>
          <w:szCs w:val="24"/>
        </w:rPr>
      </w:pPr>
      <w:r w:rsidRPr="007A6F0F">
        <w:rPr>
          <w:sz w:val="24"/>
          <w:szCs w:val="24"/>
        </w:rPr>
        <w:t>Rita de Cassia de Assis Costa</w:t>
      </w:r>
      <w:r w:rsidRPr="007A6F0F">
        <w:rPr>
          <w:sz w:val="24"/>
          <w:szCs w:val="24"/>
        </w:rPr>
        <w:t>, Sebrae RO,</w:t>
      </w:r>
      <w:r w:rsidR="00DA4DA0" w:rsidRPr="007A6F0F">
        <w:rPr>
          <w:sz w:val="24"/>
          <w:szCs w:val="24"/>
        </w:rPr>
        <w:t xml:space="preserve"> </w:t>
      </w:r>
      <w:r w:rsidR="00DA4DA0" w:rsidRPr="007A6F0F">
        <w:rPr>
          <w:sz w:val="24"/>
          <w:szCs w:val="24"/>
        </w:rPr>
        <w:t>rita@ro.sebrae.com.br</w:t>
      </w:r>
    </w:p>
    <w:p w14:paraId="24EC5094" w14:textId="19F4D43F" w:rsidR="00F00DD3" w:rsidRPr="007A6F0F" w:rsidRDefault="000D16F8" w:rsidP="00436834">
      <w:pPr>
        <w:keepLines/>
        <w:widowControl w:val="0"/>
        <w:spacing w:line="240" w:lineRule="auto"/>
        <w:jc w:val="right"/>
        <w:rPr>
          <w:b/>
          <w:bCs/>
          <w:sz w:val="24"/>
          <w:szCs w:val="24"/>
        </w:rPr>
      </w:pPr>
      <w:r w:rsidRPr="007A6F0F">
        <w:rPr>
          <w:color w:val="1F1F1F"/>
          <w:sz w:val="24"/>
          <w:szCs w:val="24"/>
          <w:shd w:val="clear" w:color="auto" w:fill="F8FAFD"/>
        </w:rPr>
        <w:t>Ângela</w:t>
      </w:r>
      <w:r w:rsidRPr="007A6F0F">
        <w:rPr>
          <w:color w:val="1F1F1F"/>
          <w:sz w:val="24"/>
          <w:szCs w:val="24"/>
          <w:shd w:val="clear" w:color="auto" w:fill="F8FAFD"/>
        </w:rPr>
        <w:t xml:space="preserve"> Maria Vieira</w:t>
      </w:r>
      <w:r w:rsidRPr="007A6F0F">
        <w:rPr>
          <w:color w:val="1F1F1F"/>
          <w:sz w:val="24"/>
          <w:szCs w:val="24"/>
          <w:shd w:val="clear" w:color="auto" w:fill="F8FAFD"/>
        </w:rPr>
        <w:t xml:space="preserve">, </w:t>
      </w:r>
      <w:r w:rsidRPr="007A6F0F">
        <w:rPr>
          <w:sz w:val="24"/>
          <w:szCs w:val="24"/>
        </w:rPr>
        <w:t>Sebrae RO,</w:t>
      </w:r>
      <w:r w:rsidR="00436834" w:rsidRPr="007A6F0F">
        <w:rPr>
          <w:sz w:val="24"/>
          <w:szCs w:val="24"/>
        </w:rPr>
        <w:t xml:space="preserve"> angela.vieira</w:t>
      </w:r>
      <w:r w:rsidR="00436834" w:rsidRPr="007A6F0F">
        <w:rPr>
          <w:sz w:val="24"/>
          <w:szCs w:val="24"/>
        </w:rPr>
        <w:t>@ro.sebrae.com.br</w:t>
      </w:r>
    </w:p>
    <w:p w14:paraId="51CC206D" w14:textId="77777777" w:rsidR="006155F7" w:rsidRDefault="006155F7">
      <w:pPr>
        <w:keepLines/>
        <w:widowControl w:val="0"/>
        <w:spacing w:line="360" w:lineRule="auto"/>
        <w:rPr>
          <w:b/>
          <w:bCs/>
          <w:sz w:val="24"/>
          <w:szCs w:val="24"/>
        </w:rPr>
      </w:pPr>
    </w:p>
    <w:p w14:paraId="1914F0A7" w14:textId="77777777" w:rsidR="006155F7" w:rsidRDefault="006155F7">
      <w:pPr>
        <w:keepLines/>
        <w:widowControl w:val="0"/>
        <w:spacing w:line="360" w:lineRule="auto"/>
        <w:rPr>
          <w:b/>
          <w:bCs/>
          <w:sz w:val="24"/>
          <w:szCs w:val="24"/>
        </w:rPr>
      </w:pPr>
    </w:p>
    <w:p w14:paraId="48D255CD" w14:textId="77777777" w:rsidR="006155F7" w:rsidRDefault="006155F7">
      <w:pPr>
        <w:keepLines/>
        <w:widowControl w:val="0"/>
        <w:spacing w:line="360" w:lineRule="auto"/>
        <w:rPr>
          <w:b/>
          <w:bCs/>
          <w:sz w:val="24"/>
          <w:szCs w:val="24"/>
        </w:rPr>
      </w:pPr>
    </w:p>
    <w:p w14:paraId="18DBFA3C" w14:textId="5360EF8A" w:rsidR="00F00DD3" w:rsidRDefault="003937AB">
      <w:pPr>
        <w:keepLines/>
        <w:widowControl w:val="0"/>
        <w:spacing w:line="360" w:lineRule="auto"/>
        <w:rPr>
          <w:b/>
          <w:bCs/>
          <w:sz w:val="24"/>
          <w:szCs w:val="24"/>
        </w:rPr>
      </w:pPr>
      <w:r>
        <w:rPr>
          <w:b/>
          <w:bCs/>
          <w:sz w:val="24"/>
          <w:szCs w:val="24"/>
        </w:rPr>
        <w:t>RESUMO</w:t>
      </w:r>
    </w:p>
    <w:p w14:paraId="4A1B99AD" w14:textId="77777777" w:rsidR="00F00DD3" w:rsidRDefault="00F00DD3">
      <w:pPr>
        <w:keepLines/>
        <w:widowControl w:val="0"/>
        <w:spacing w:line="360" w:lineRule="auto"/>
        <w:rPr>
          <w:b/>
          <w:bCs/>
          <w:sz w:val="24"/>
          <w:szCs w:val="24"/>
        </w:rPr>
      </w:pPr>
    </w:p>
    <w:p w14:paraId="764FBCC8" w14:textId="77777777" w:rsidR="00603609" w:rsidRPr="007A3AD4" w:rsidRDefault="00603609" w:rsidP="007A3AD4">
      <w:pPr>
        <w:spacing w:line="360" w:lineRule="auto"/>
        <w:jc w:val="both"/>
        <w:rPr>
          <w:sz w:val="24"/>
          <w:szCs w:val="24"/>
        </w:rPr>
      </w:pPr>
      <w:r w:rsidRPr="007A3AD4">
        <w:rPr>
          <w:sz w:val="24"/>
          <w:szCs w:val="24"/>
        </w:rPr>
        <w:t>As Leis nº 10.639/2003 e nº 11.645/2008 estabelecem a obrigatoriedade do ensino da história e cultura afro-brasileira, africana e indígena na Educação Básica. Sua implementação, entretanto, ultrapassa a inclusão de conteúdos específicos no currículo e envolve a ampliação de referências, o reconhecimento de diferentes formas de produção de conhecimento e o enfrentamento de processos históricos de invisibilização e desigualdade. Nesse contexto, apresenta-se uma proposta metodológica destinada às escolas do Ensino Fundamental, desenvolvida para apoiar a implementação contínua da educação das relações étnico-raciais, articulando currículo, território, repertórios culturais e desenvolvimento de competências.</w:t>
      </w:r>
    </w:p>
    <w:p w14:paraId="6C0A398B" w14:textId="77777777" w:rsidR="00603609" w:rsidRPr="007A3AD4" w:rsidRDefault="00603609" w:rsidP="007A3AD4">
      <w:pPr>
        <w:spacing w:line="360" w:lineRule="auto"/>
        <w:jc w:val="both"/>
        <w:rPr>
          <w:sz w:val="24"/>
          <w:szCs w:val="24"/>
        </w:rPr>
      </w:pPr>
      <w:r w:rsidRPr="007A3AD4">
        <w:rPr>
          <w:sz w:val="24"/>
          <w:szCs w:val="24"/>
        </w:rPr>
        <w:t xml:space="preserve">A proposta parte do reconhecimento de que as escolas possuem experiências, repertórios e práticas já construídos. Não pretende substituir iniciativas existentes ou oferecer uma sequência fixa de atividades, mas disponibilizar uma estrutura metodológica que possa ser apropriada pelas escolas de acordo com seu projeto pedagógico, contexto, turmas e território. Seu principal deslocamento está na compreensão do território como fonte legítima de conhecimento. Em vez de ser tratado apenas como objeto de estudo, o território é compreendido como espaço de memória e ancestralidade, produção cultural, relações sociais, saberes, desafios e possibilidades. Essa perspectiva aproxima os conhecimentos escolares das experiências dos estudantes, de suas famílias e comunidades, reconhecendo </w:t>
      </w:r>
      <w:r w:rsidRPr="007A3AD4">
        <w:rPr>
          <w:sz w:val="24"/>
          <w:szCs w:val="24"/>
        </w:rPr>
        <w:lastRenderedPageBreak/>
        <w:t>sujeitos, histórias e saberes que historicamente nem sempre ocuparam lugar de destaque nos processos educativos.</w:t>
      </w:r>
    </w:p>
    <w:p w14:paraId="5F4E711F" w14:textId="77777777" w:rsidR="00603609" w:rsidRPr="007A3AD4" w:rsidRDefault="00603609" w:rsidP="007A3AD4">
      <w:pPr>
        <w:spacing w:line="360" w:lineRule="auto"/>
        <w:jc w:val="both"/>
        <w:rPr>
          <w:sz w:val="24"/>
          <w:szCs w:val="24"/>
        </w:rPr>
      </w:pPr>
      <w:r w:rsidRPr="007A3AD4">
        <w:rPr>
          <w:sz w:val="24"/>
          <w:szCs w:val="24"/>
        </w:rPr>
        <w:t>Essa concepção também amplia a reflexão sobre quem produz conhecimento, quais saberes são reconhecidos como legítimos e quais narrativas ocupam o centro das práticas pedagógicas. Não se trata de substituir referências já consolidadas, mas de ampliar repertórios e perspectivas, incorporando de forma qualificada conhecimentos, histórias, culturas e contribuições africanas, afro-brasileiras e indígenas. O deslocamento proposto é, portanto, também epistemológico: amplia-se o campo de referências a partir do qual os estudantes interpretam o mundo, produzem conhecimento e reconhecem seu lugar nele.</w:t>
      </w:r>
    </w:p>
    <w:p w14:paraId="5F569431" w14:textId="77777777" w:rsidR="00603609" w:rsidRPr="007A3AD4" w:rsidRDefault="00603609" w:rsidP="007A3AD4">
      <w:pPr>
        <w:spacing w:line="360" w:lineRule="auto"/>
        <w:jc w:val="both"/>
        <w:rPr>
          <w:sz w:val="24"/>
          <w:szCs w:val="24"/>
        </w:rPr>
      </w:pPr>
      <w:r w:rsidRPr="007A3AD4">
        <w:rPr>
          <w:sz w:val="24"/>
          <w:szCs w:val="24"/>
        </w:rPr>
        <w:t xml:space="preserve">A proposta está estruturada em diálogo com a Base Nacional Comum Curricular (BNCC), considerando suas Competências Gerais e os diferentes componentes curriculares. Para o desenvolvimento das competências empreendedoras, adota como referência o EntreComp – Entrepreneurship </w:t>
      </w:r>
      <w:proofErr w:type="spellStart"/>
      <w:r w:rsidRPr="007A3AD4">
        <w:rPr>
          <w:sz w:val="24"/>
          <w:szCs w:val="24"/>
        </w:rPr>
        <w:t>Competence</w:t>
      </w:r>
      <w:proofErr w:type="spellEnd"/>
      <w:r w:rsidRPr="007A3AD4">
        <w:rPr>
          <w:sz w:val="24"/>
          <w:szCs w:val="24"/>
        </w:rPr>
        <w:t xml:space="preserve"> Framework, cuja abordagem dialoga com competências previstas na BNCC. O desenho das experiências de aprendizagem também é inspirado por abordagens como o Círculo Dourado, que contribui para a construção de experiências orientadas por propósito e sentido, e pela Aprendizagem Criativa, especialmente em sua valorização da experimentação, colaboração, criação e produção autoral. Esses referenciais não constituem etapas adicionais nem são aplicados de forma isolada: contribuem para decisões de desenho que integram diferentes dimensões da experiência educativa.</w:t>
      </w:r>
    </w:p>
    <w:p w14:paraId="17800527" w14:textId="77777777" w:rsidR="00603609" w:rsidRPr="007A3AD4" w:rsidRDefault="00603609" w:rsidP="007A3AD4">
      <w:pPr>
        <w:spacing w:line="360" w:lineRule="auto"/>
        <w:jc w:val="both"/>
        <w:rPr>
          <w:sz w:val="24"/>
          <w:szCs w:val="24"/>
        </w:rPr>
      </w:pPr>
      <w:r w:rsidRPr="007A3AD4">
        <w:rPr>
          <w:sz w:val="24"/>
          <w:szCs w:val="24"/>
        </w:rPr>
        <w:t xml:space="preserve">A partir desses fundamentos, a proposta organiza uma metodologia própria em cinco propósitos articulados: Explorar Saberes; Identificar Invisibilidades e Oportunidades; Criar e </w:t>
      </w:r>
      <w:proofErr w:type="spellStart"/>
      <w:r w:rsidRPr="007A3AD4">
        <w:rPr>
          <w:sz w:val="24"/>
          <w:szCs w:val="24"/>
        </w:rPr>
        <w:t>Prototipar</w:t>
      </w:r>
      <w:proofErr w:type="spellEnd"/>
      <w:r w:rsidRPr="007A3AD4">
        <w:rPr>
          <w:sz w:val="24"/>
          <w:szCs w:val="24"/>
        </w:rPr>
        <w:t>; Refletir e Qualificar; e Compartilhar. Os propósitos não correspondem a uma sequência rígida de aulas ou atividades, mas estruturam um percurso de aprendizagem que pode assumir diferentes formas conforme o contexto escolar. Cada um orienta uma experiência e prevê uma produção que permite acompanhar o desenvolvimento do percurso.</w:t>
      </w:r>
    </w:p>
    <w:p w14:paraId="25526B7B" w14:textId="77777777" w:rsidR="00603609" w:rsidRPr="007A3AD4" w:rsidRDefault="00603609" w:rsidP="007A3AD4">
      <w:pPr>
        <w:spacing w:line="360" w:lineRule="auto"/>
        <w:jc w:val="both"/>
        <w:rPr>
          <w:sz w:val="24"/>
          <w:szCs w:val="24"/>
        </w:rPr>
      </w:pPr>
      <w:r w:rsidRPr="007A3AD4">
        <w:rPr>
          <w:sz w:val="24"/>
          <w:szCs w:val="24"/>
        </w:rPr>
        <w:t xml:space="preserve">Explorar Saberes amplia repertórios e aproxima os estudantes de referências culturais, históricas e territoriais diversas. Identificar Invisibilidades e Oportunidades favorece a leitura crítica de ausências, distorções, desigualdades e possibilidades de transformação. Criar e </w:t>
      </w:r>
      <w:proofErr w:type="spellStart"/>
      <w:r w:rsidRPr="007A3AD4">
        <w:rPr>
          <w:sz w:val="24"/>
          <w:szCs w:val="24"/>
        </w:rPr>
        <w:t>Prototipar</w:t>
      </w:r>
      <w:proofErr w:type="spellEnd"/>
      <w:r w:rsidRPr="007A3AD4">
        <w:rPr>
          <w:sz w:val="24"/>
          <w:szCs w:val="24"/>
        </w:rPr>
        <w:t xml:space="preserve"> transforma repertórios e reflexões em produções </w:t>
      </w:r>
      <w:r w:rsidRPr="007A3AD4">
        <w:rPr>
          <w:sz w:val="24"/>
          <w:szCs w:val="24"/>
        </w:rPr>
        <w:lastRenderedPageBreak/>
        <w:t>autorais, por meio da experimentação, da colaboração e da tomada de decisões. Refletir e Qualificar promove a revisão das produções, considerando escolhas, impactos e aspectos sociais, culturais, éticos e sustentáveis. Compartilhar completa o percurso por meio da socialização, do diálogo e da validação das produções junto ao território e à comunidade. Assim, a aprendizagem não se encerra na produção realizada pelos estudantes, mas inclui a possibilidade de revisá-la, colocá-la em diálogo e reconhecer outros sujeitos como interlocutores e participantes do processo.</w:t>
      </w:r>
    </w:p>
    <w:p w14:paraId="65F21E01" w14:textId="77777777" w:rsidR="00603609" w:rsidRPr="007A3AD4" w:rsidRDefault="00603609" w:rsidP="007A3AD4">
      <w:pPr>
        <w:spacing w:line="360" w:lineRule="auto"/>
        <w:jc w:val="both"/>
        <w:rPr>
          <w:sz w:val="24"/>
          <w:szCs w:val="24"/>
        </w:rPr>
      </w:pPr>
      <w:r w:rsidRPr="007A3AD4">
        <w:rPr>
          <w:sz w:val="24"/>
          <w:szCs w:val="24"/>
        </w:rPr>
        <w:t>O desenho metodológico é semiaberto: mantém uma estrutura comum, mas permite que cada escola selecione temas, linguagens, problemas, referências e formas de produção de acordo com seu território e planejamento. Essa característica busca equilibrar intencionalidade pedagógica e contextualização, evitando tanto a fragmentação das ações quanto a padronização das experiências. O percurso pode ser desenvolvido de forma integrada aos componentes curriculares e articulado às práticas já existentes na escola, contribuindo para que a educação das relações étnico-raciais esteja presente no cotidiano e não restrita a datas comemorativas, projetos pontuais ou ações isoladas.</w:t>
      </w:r>
    </w:p>
    <w:p w14:paraId="147601C7" w14:textId="77777777" w:rsidR="00603609" w:rsidRPr="007A3AD4" w:rsidRDefault="00603609" w:rsidP="007A3AD4">
      <w:pPr>
        <w:spacing w:line="360" w:lineRule="auto"/>
        <w:jc w:val="both"/>
        <w:rPr>
          <w:sz w:val="24"/>
          <w:szCs w:val="24"/>
        </w:rPr>
      </w:pPr>
      <w:r w:rsidRPr="007A3AD4">
        <w:rPr>
          <w:sz w:val="24"/>
          <w:szCs w:val="24"/>
        </w:rPr>
        <w:t>A proposta foi estruturada para os nove anos do Ensino Fundamental, considerando diferentes faixas etárias e níveis de autonomia. Os percursos temáticos avançam progressivamente de experiências relacionadas à ancestralidade, memória, cultura e território para propostas que envolvem ciência, inovação, tecnologia, comunicação, identidade e projetos culturais. Essa progressão modifica linguagens, desafios e produções conforme o desenvolvimento dos estudantes, mas preserva a mesma lógica metodológica, permitindo que a experiência se aprofunde ao longo da trajetória escolar.</w:t>
      </w:r>
    </w:p>
    <w:p w14:paraId="0E2EFAF9" w14:textId="77777777" w:rsidR="00603609" w:rsidRPr="007A3AD4" w:rsidRDefault="00603609" w:rsidP="007A3AD4">
      <w:pPr>
        <w:spacing w:line="360" w:lineRule="auto"/>
        <w:jc w:val="both"/>
        <w:rPr>
          <w:sz w:val="24"/>
          <w:szCs w:val="24"/>
        </w:rPr>
      </w:pPr>
      <w:r w:rsidRPr="007A3AD4">
        <w:rPr>
          <w:sz w:val="24"/>
          <w:szCs w:val="24"/>
        </w:rPr>
        <w:t xml:space="preserve">Dessa forma, a proposta busca contribuir para que a educação das relações étnico-raciais se consolide como dimensão permanente da experiência escolar. Sua contribuição está menos na oferta de conteúdos prontos e mais na criação de condições para que a escola amplie repertórios, reconheça diferentes formas de produção de conhecimento, estabeleça relações mais qualificadas com seu território e desenvolva experiências nas quais os estudantes possam conhecer, questionar, criar, revisar e compartilhar. Ao articular currículo, território, repertórios culturais, protagonismo estudantil e desenvolvimento de competências, a proposta oferece um </w:t>
      </w:r>
      <w:r w:rsidRPr="007A3AD4">
        <w:rPr>
          <w:sz w:val="24"/>
          <w:szCs w:val="24"/>
        </w:rPr>
        <w:lastRenderedPageBreak/>
        <w:t>percurso metodológico para apoiar as escolas na implementação contínua das Leis nº 10.639/2003 e nº 11.645/2008.</w:t>
      </w:r>
    </w:p>
    <w:p w14:paraId="3D82DDA5" w14:textId="77777777" w:rsidR="00F00DD3" w:rsidRDefault="00F00DD3">
      <w:pPr>
        <w:keepLines/>
        <w:widowControl w:val="0"/>
        <w:spacing w:line="360" w:lineRule="auto"/>
        <w:jc w:val="both"/>
        <w:rPr>
          <w:sz w:val="24"/>
          <w:szCs w:val="24"/>
        </w:rPr>
      </w:pPr>
    </w:p>
    <w:p w14:paraId="607DD908" w14:textId="77777777" w:rsidR="00F00DD3" w:rsidRDefault="003937AB">
      <w:pPr>
        <w:keepLines/>
        <w:widowControl w:val="0"/>
        <w:spacing w:line="360" w:lineRule="auto"/>
        <w:jc w:val="both"/>
        <w:rPr>
          <w:b/>
          <w:bCs/>
          <w:sz w:val="24"/>
          <w:szCs w:val="24"/>
        </w:rPr>
      </w:pPr>
      <w:r>
        <w:rPr>
          <w:b/>
          <w:bCs/>
          <w:sz w:val="24"/>
          <w:szCs w:val="24"/>
        </w:rPr>
        <w:t>PALAVRAS-CHAVE</w:t>
      </w:r>
    </w:p>
    <w:p w14:paraId="1C1DDF60" w14:textId="1CEFE422" w:rsidR="00F00DD3" w:rsidRDefault="00802BA5">
      <w:pPr>
        <w:keepLines/>
        <w:widowControl w:val="0"/>
        <w:spacing w:line="240" w:lineRule="auto"/>
        <w:rPr>
          <w:sz w:val="24"/>
          <w:szCs w:val="24"/>
        </w:rPr>
      </w:pPr>
      <w:r w:rsidRPr="00150E10">
        <w:t>Educação das Relações Étnico-Raciais; Educação Básica; Território; Currículo; EntreComp; Aprendizagem Criativa.</w:t>
      </w:r>
    </w:p>
    <w:p w14:paraId="410F215E" w14:textId="77777777" w:rsidR="00F00DD3" w:rsidRDefault="00F00DD3">
      <w:pPr>
        <w:keepLines/>
        <w:widowControl w:val="0"/>
        <w:spacing w:line="240" w:lineRule="auto"/>
        <w:rPr>
          <w:b/>
          <w:bCs/>
          <w:sz w:val="24"/>
          <w:szCs w:val="24"/>
        </w:rPr>
      </w:pPr>
    </w:p>
    <w:p w14:paraId="7C7FF587" w14:textId="77777777" w:rsidR="00F00DD3" w:rsidRDefault="003937AB">
      <w:pPr>
        <w:keepLines/>
        <w:widowControl w:val="0"/>
        <w:spacing w:line="240" w:lineRule="auto"/>
        <w:rPr>
          <w:sz w:val="24"/>
          <w:szCs w:val="24"/>
        </w:rPr>
      </w:pPr>
      <w:r>
        <w:rPr>
          <w:b/>
          <w:bCs/>
          <w:sz w:val="24"/>
          <w:szCs w:val="24"/>
        </w:rPr>
        <w:t>REFERÊNCIAS</w:t>
      </w:r>
      <w:r>
        <w:rPr>
          <w:sz w:val="24"/>
          <w:szCs w:val="24"/>
        </w:rPr>
        <w:t xml:space="preserve"> </w:t>
      </w:r>
    </w:p>
    <w:p w14:paraId="1E7BF252" w14:textId="77777777" w:rsidR="001634ED" w:rsidRPr="00630E5D" w:rsidRDefault="001634ED" w:rsidP="009B45A3">
      <w:pPr>
        <w:spacing w:line="240" w:lineRule="auto"/>
        <w:rPr>
          <w:sz w:val="24"/>
          <w:szCs w:val="24"/>
        </w:rPr>
      </w:pPr>
      <w:r w:rsidRPr="00630E5D">
        <w:rPr>
          <w:b/>
          <w:bCs/>
          <w:sz w:val="24"/>
          <w:szCs w:val="24"/>
        </w:rPr>
        <w:t>BRASIL.</w:t>
      </w:r>
      <w:r w:rsidRPr="00630E5D">
        <w:rPr>
          <w:sz w:val="24"/>
          <w:szCs w:val="24"/>
        </w:rPr>
        <w:t xml:space="preserve"> </w:t>
      </w:r>
      <w:r w:rsidRPr="00630E5D">
        <w:rPr>
          <w:i/>
          <w:iCs/>
          <w:sz w:val="24"/>
          <w:szCs w:val="24"/>
        </w:rPr>
        <w:t>Base Nacional Comum Curricular</w:t>
      </w:r>
      <w:r w:rsidRPr="00630E5D">
        <w:rPr>
          <w:sz w:val="24"/>
          <w:szCs w:val="24"/>
        </w:rPr>
        <w:t>. Brasília, DF: Ministério da Educação, 2018.</w:t>
      </w:r>
    </w:p>
    <w:p w14:paraId="140BF7C1" w14:textId="77777777" w:rsidR="001634ED" w:rsidRPr="00630E5D" w:rsidRDefault="001634ED" w:rsidP="009B45A3">
      <w:pPr>
        <w:spacing w:line="240" w:lineRule="auto"/>
        <w:rPr>
          <w:sz w:val="24"/>
          <w:szCs w:val="24"/>
        </w:rPr>
      </w:pPr>
      <w:r w:rsidRPr="00630E5D">
        <w:rPr>
          <w:b/>
          <w:bCs/>
          <w:sz w:val="24"/>
          <w:szCs w:val="24"/>
        </w:rPr>
        <w:t>BRASIL.</w:t>
      </w:r>
      <w:r w:rsidRPr="00630E5D">
        <w:rPr>
          <w:sz w:val="24"/>
          <w:szCs w:val="24"/>
        </w:rPr>
        <w:t xml:space="preserve"> Lei nº 10.639, de 9 de janeiro de 2003. Altera a Lei nº 9.394, de 20 de dezembro de 1996, que estabelece as diretrizes e bases da educação nacional, para incluir no currículo oficial da Rede de Ensino a obrigatoriedade da temática “História e Cultura Afro-Brasileira”. </w:t>
      </w:r>
      <w:r w:rsidRPr="00630E5D">
        <w:rPr>
          <w:i/>
          <w:iCs/>
          <w:sz w:val="24"/>
          <w:szCs w:val="24"/>
        </w:rPr>
        <w:t>Diário Oficial da União</w:t>
      </w:r>
      <w:r w:rsidRPr="00630E5D">
        <w:rPr>
          <w:sz w:val="24"/>
          <w:szCs w:val="24"/>
        </w:rPr>
        <w:t>, Brasília, DF, 10 jan. 2003.</w:t>
      </w:r>
    </w:p>
    <w:p w14:paraId="2A2C50ED" w14:textId="77777777" w:rsidR="001634ED" w:rsidRPr="00630E5D" w:rsidRDefault="001634ED" w:rsidP="009B45A3">
      <w:pPr>
        <w:spacing w:line="240" w:lineRule="auto"/>
        <w:rPr>
          <w:sz w:val="24"/>
          <w:szCs w:val="24"/>
        </w:rPr>
      </w:pPr>
      <w:r w:rsidRPr="00630E5D">
        <w:rPr>
          <w:b/>
          <w:bCs/>
          <w:sz w:val="24"/>
          <w:szCs w:val="24"/>
        </w:rPr>
        <w:t>BRASIL.</w:t>
      </w:r>
      <w:r w:rsidRPr="00630E5D">
        <w:rPr>
          <w:sz w:val="24"/>
          <w:szCs w:val="24"/>
        </w:rPr>
        <w:t xml:space="preserve"> Lei nº 11.645, de 10 de março de 2008. Altera a Lei nº 9.394, de 20 de dezembro de 1996, modificada pela Lei nº 10.639, de 9 de janeiro de 2003, para incluir no currículo oficial da rede de ensino a obrigatoriedade da temática “História e Cultura Afro-Brasileira e Indígena”. </w:t>
      </w:r>
      <w:r w:rsidRPr="00630E5D">
        <w:rPr>
          <w:i/>
          <w:iCs/>
          <w:sz w:val="24"/>
          <w:szCs w:val="24"/>
        </w:rPr>
        <w:t>Diário Oficial da União</w:t>
      </w:r>
      <w:r w:rsidRPr="00630E5D">
        <w:rPr>
          <w:sz w:val="24"/>
          <w:szCs w:val="24"/>
        </w:rPr>
        <w:t>, Brasília, DF, 11 mar. 2008.</w:t>
      </w:r>
    </w:p>
    <w:p w14:paraId="01295537" w14:textId="77777777" w:rsidR="001634ED" w:rsidRPr="00630E5D" w:rsidRDefault="001634ED" w:rsidP="009B45A3">
      <w:pPr>
        <w:spacing w:line="240" w:lineRule="auto"/>
        <w:rPr>
          <w:sz w:val="24"/>
          <w:szCs w:val="24"/>
        </w:rPr>
      </w:pPr>
      <w:r w:rsidRPr="00630E5D">
        <w:rPr>
          <w:b/>
          <w:bCs/>
          <w:sz w:val="24"/>
          <w:szCs w:val="24"/>
        </w:rPr>
        <w:t>BACIGALUPO, Margherita et al.</w:t>
      </w:r>
      <w:r w:rsidRPr="00630E5D">
        <w:rPr>
          <w:sz w:val="24"/>
          <w:szCs w:val="24"/>
        </w:rPr>
        <w:t xml:space="preserve"> </w:t>
      </w:r>
      <w:r w:rsidRPr="00630E5D">
        <w:rPr>
          <w:i/>
          <w:iCs/>
          <w:sz w:val="24"/>
          <w:szCs w:val="24"/>
        </w:rPr>
        <w:t>EntreComp: quadro de referência das competências para o empreendedorismo</w:t>
      </w:r>
      <w:r w:rsidRPr="00630E5D">
        <w:rPr>
          <w:sz w:val="24"/>
          <w:szCs w:val="24"/>
        </w:rPr>
        <w:t xml:space="preserve">. Tradução de Sara Dias-Trindade, José António Moreira e M. Jacinto A. Jardim. [S. l.]: </w:t>
      </w:r>
      <w:proofErr w:type="spellStart"/>
      <w:r w:rsidRPr="00630E5D">
        <w:rPr>
          <w:sz w:val="24"/>
          <w:szCs w:val="24"/>
        </w:rPr>
        <w:t>Theia</w:t>
      </w:r>
      <w:proofErr w:type="spellEnd"/>
      <w:r w:rsidRPr="00630E5D">
        <w:rPr>
          <w:sz w:val="24"/>
          <w:szCs w:val="24"/>
        </w:rPr>
        <w:t xml:space="preserve"> Editores, 2020. Disponível em: </w:t>
      </w:r>
      <w:hyperlink r:id="rId7" w:tgtFrame="_new" w:history="1">
        <w:r w:rsidRPr="00630E5D">
          <w:rPr>
            <w:rStyle w:val="Hyperlink"/>
            <w:color w:val="auto"/>
            <w:sz w:val="24"/>
            <w:szCs w:val="24"/>
            <w:u w:val="none"/>
          </w:rPr>
          <w:t>https://hdl.handle.net/10316/94202</w:t>
        </w:r>
      </w:hyperlink>
      <w:r w:rsidRPr="00630E5D">
        <w:rPr>
          <w:sz w:val="24"/>
          <w:szCs w:val="24"/>
        </w:rPr>
        <w:t>. Acesso em: 9 jan. 2026.</w:t>
      </w:r>
    </w:p>
    <w:p w14:paraId="5E553BA8" w14:textId="77777777" w:rsidR="00F00DD3" w:rsidRPr="00630E5D" w:rsidRDefault="00F00DD3">
      <w:pPr>
        <w:spacing w:after="200" w:line="240" w:lineRule="auto"/>
        <w:jc w:val="both"/>
        <w:rPr>
          <w:b/>
          <w:bCs/>
          <w:sz w:val="24"/>
          <w:szCs w:val="24"/>
        </w:rPr>
      </w:pPr>
    </w:p>
    <w:sectPr w:rsidR="00F00DD3" w:rsidRPr="00630E5D">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ACE64" w14:textId="77777777" w:rsidR="000D5945" w:rsidRDefault="000D5945">
      <w:pPr>
        <w:spacing w:line="240" w:lineRule="auto"/>
      </w:pPr>
      <w:r>
        <w:separator/>
      </w:r>
    </w:p>
  </w:endnote>
  <w:endnote w:type="continuationSeparator" w:id="0">
    <w:p w14:paraId="31028427" w14:textId="77777777" w:rsidR="000D5945" w:rsidRDefault="000D59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71252A-DBAC-4FEF-9BA8-0FEF99212763}"/>
  </w:font>
  <w:font w:name="Cambria">
    <w:panose1 w:val="02040503050406030204"/>
    <w:charset w:val="00"/>
    <w:family w:val="roman"/>
    <w:pitch w:val="variable"/>
    <w:sig w:usb0="E00006FF" w:usb1="420024FF" w:usb2="02000000" w:usb3="00000000" w:csb0="0000019F" w:csb1="00000000"/>
    <w:embedRegular r:id="rId2" w:fontKey="{F3026A6E-00F9-4A9A-949C-6907259C31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E646" w14:textId="77777777" w:rsidR="00F00DD3" w:rsidRDefault="003937AB">
    <w:pPr>
      <w:jc w:val="center"/>
    </w:pPr>
    <w:r>
      <w:fldChar w:fldCharType="begin"/>
    </w:r>
    <w:r>
      <w:instrText>PAGE</w:instrText>
    </w:r>
    <w:r>
      <w:fldChar w:fldCharType="separate"/>
    </w:r>
    <w:r w:rsidR="0096441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2024" w14:textId="77777777" w:rsidR="00F00DD3" w:rsidRDefault="00F00D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F9951" w14:textId="77777777" w:rsidR="000D5945" w:rsidRDefault="000D5945">
      <w:pPr>
        <w:spacing w:line="240" w:lineRule="auto"/>
      </w:pPr>
      <w:r>
        <w:separator/>
      </w:r>
    </w:p>
  </w:footnote>
  <w:footnote w:type="continuationSeparator" w:id="0">
    <w:p w14:paraId="7D40EF7A" w14:textId="77777777" w:rsidR="000D5945" w:rsidRDefault="000D59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D2D1" w14:textId="77777777" w:rsidR="00F00DD3" w:rsidRDefault="003937AB">
    <w:pPr>
      <w:jc w:val="right"/>
    </w:pPr>
    <w:r>
      <w:rPr>
        <w:noProof/>
      </w:rPr>
      <w:drawing>
        <wp:anchor distT="114300" distB="114300" distL="114300" distR="114300" simplePos="0" relativeHeight="251658240" behindDoc="1" locked="0" layoutInCell="1" hidden="0" allowOverlap="1" wp14:anchorId="32F43804" wp14:editId="5E15C8BE">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4C31252" wp14:editId="4AA2797A">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0D279BD" w14:textId="77777777" w:rsidR="00F00DD3" w:rsidRDefault="00F00DD3">
    <w:pPr>
      <w:jc w:val="right"/>
    </w:pPr>
  </w:p>
  <w:p w14:paraId="15950B06" w14:textId="77777777" w:rsidR="00F00DD3" w:rsidRDefault="00F00DD3">
    <w:pPr>
      <w:jc w:val="right"/>
    </w:pPr>
  </w:p>
  <w:p w14:paraId="11D4A3F9" w14:textId="77777777" w:rsidR="00F00DD3" w:rsidRDefault="003937AB">
    <w:r>
      <w:rPr>
        <w:noProof/>
      </w:rPr>
      <w:drawing>
        <wp:anchor distT="114300" distB="114300" distL="114300" distR="114300" simplePos="0" relativeHeight="251660288" behindDoc="1" locked="0" layoutInCell="1" hidden="0" allowOverlap="1" wp14:anchorId="561B252B" wp14:editId="6A6DD96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9093" w14:textId="77777777" w:rsidR="00F00DD3" w:rsidRDefault="00F00DD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DD3"/>
    <w:rsid w:val="000D16F8"/>
    <w:rsid w:val="000D5945"/>
    <w:rsid w:val="000F42C5"/>
    <w:rsid w:val="001634ED"/>
    <w:rsid w:val="001741F9"/>
    <w:rsid w:val="0017480B"/>
    <w:rsid w:val="002768E8"/>
    <w:rsid w:val="00380436"/>
    <w:rsid w:val="003937AB"/>
    <w:rsid w:val="00436834"/>
    <w:rsid w:val="004E72DD"/>
    <w:rsid w:val="005177A2"/>
    <w:rsid w:val="005505FF"/>
    <w:rsid w:val="00603609"/>
    <w:rsid w:val="006155F7"/>
    <w:rsid w:val="00630E5D"/>
    <w:rsid w:val="006D0FEB"/>
    <w:rsid w:val="006E64B9"/>
    <w:rsid w:val="007065D5"/>
    <w:rsid w:val="007476E8"/>
    <w:rsid w:val="007A3AD4"/>
    <w:rsid w:val="007A6F0F"/>
    <w:rsid w:val="00802BA5"/>
    <w:rsid w:val="008635BC"/>
    <w:rsid w:val="008740FD"/>
    <w:rsid w:val="008D32FE"/>
    <w:rsid w:val="00964413"/>
    <w:rsid w:val="009B45A3"/>
    <w:rsid w:val="00A241AC"/>
    <w:rsid w:val="00A45EF2"/>
    <w:rsid w:val="00B61169"/>
    <w:rsid w:val="00B85E6C"/>
    <w:rsid w:val="00B90F83"/>
    <w:rsid w:val="00BE4DF7"/>
    <w:rsid w:val="00C516DE"/>
    <w:rsid w:val="00C81A5E"/>
    <w:rsid w:val="00CA51AE"/>
    <w:rsid w:val="00CE3ED0"/>
    <w:rsid w:val="00CF6547"/>
    <w:rsid w:val="00D97B4E"/>
    <w:rsid w:val="00DA4DA0"/>
    <w:rsid w:val="00DD4B9D"/>
    <w:rsid w:val="00E10C1B"/>
    <w:rsid w:val="00ED0E5E"/>
    <w:rsid w:val="00F00DD3"/>
    <w:rsid w:val="00F55E68"/>
    <w:rsid w:val="00FD66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64D52"/>
  <w15:docId w15:val="{B74DD9A3-A6EA-40A6-8592-9B2A7B1F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1634ED"/>
    <w:rPr>
      <w:color w:val="0000FF" w:themeColor="hyperlink"/>
      <w:u w:val="single"/>
    </w:rPr>
  </w:style>
  <w:style w:type="character" w:styleId="MenoPendente">
    <w:name w:val="Unresolved Mention"/>
    <w:basedOn w:val="Fontepargpadro"/>
    <w:uiPriority w:val="99"/>
    <w:semiHidden/>
    <w:unhideWhenUsed/>
    <w:rsid w:val="00CA5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hdl.handle.net/10316/94202"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radaeducare@gmail.com"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1291</Words>
  <Characters>6975</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 Liane Ávila Prieto Silveira</dc:creator>
  <cp:lastModifiedBy>Nara Liane Ávila Prieto Silveira</cp:lastModifiedBy>
  <cp:revision>34</cp:revision>
  <dcterms:created xsi:type="dcterms:W3CDTF">2026-08-16T02:15:00Z</dcterms:created>
  <dcterms:modified xsi:type="dcterms:W3CDTF">2026-08-16T18:59:00Z</dcterms:modified>
</cp:coreProperties>
</file>