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96A5F" w14:textId="76AA2659" w:rsidR="0021480E" w:rsidRDefault="0021480E" w:rsidP="0021480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Ludicidade no envolvimento</w:t>
      </w:r>
      <w:r w:rsidR="0098122D">
        <w:rPr>
          <w:rFonts w:ascii="Arial" w:hAnsi="Arial" w:cs="Arial"/>
        </w:rPr>
        <w:t xml:space="preserve"> dos </w:t>
      </w:r>
      <w:r w:rsidR="0098122D" w:rsidRPr="0098122D">
        <w:rPr>
          <w:rFonts w:ascii="Arial" w:hAnsi="Arial" w:cs="Arial"/>
          <w:i/>
          <w:iCs/>
        </w:rPr>
        <w:t>encantados</w:t>
      </w:r>
      <w:r>
        <w:rPr>
          <w:rFonts w:ascii="Arial" w:hAnsi="Arial" w:cs="Arial"/>
        </w:rPr>
        <w:t xml:space="preserve"> </w:t>
      </w:r>
      <w:r w:rsidR="0098122D"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a educação tradicional </w:t>
      </w:r>
      <w:r w:rsidR="0098122D">
        <w:rPr>
          <w:rFonts w:ascii="Arial" w:hAnsi="Arial" w:cs="Arial"/>
        </w:rPr>
        <w:t>das E</w:t>
      </w:r>
      <w:r>
        <w:rPr>
          <w:rFonts w:ascii="Arial" w:hAnsi="Arial" w:cs="Arial"/>
        </w:rPr>
        <w:t>scolas indígenas Taboa Pankararu</w:t>
      </w:r>
    </w:p>
    <w:p w14:paraId="2CFB15F5" w14:textId="608713C5" w:rsidR="000B38C2" w:rsidRDefault="000B38C2" w:rsidP="000B38C2">
      <w:pPr>
        <w:spacing w:line="360" w:lineRule="auto"/>
        <w:jc w:val="right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Janicleide</w:t>
      </w:r>
      <w:proofErr w:type="spellEnd"/>
      <w:r>
        <w:rPr>
          <w:rFonts w:ascii="Arial" w:hAnsi="Arial" w:cs="Arial"/>
        </w:rPr>
        <w:t xml:space="preserve"> Marques Lima</w:t>
      </w:r>
      <w:r w:rsidR="00D27537">
        <w:rPr>
          <w:rStyle w:val="Refdenotaderodap"/>
          <w:rFonts w:ascii="Arial" w:hAnsi="Arial" w:cs="Arial"/>
        </w:rPr>
        <w:footnoteReference w:id="1"/>
      </w:r>
    </w:p>
    <w:p w14:paraId="5387963E" w14:textId="0DD97385" w:rsidR="000B38C2" w:rsidRDefault="000B38C2" w:rsidP="000B38C2">
      <w:pPr>
        <w:spacing w:line="360" w:lineRule="auto"/>
        <w:jc w:val="right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Mágda</w:t>
      </w:r>
      <w:proofErr w:type="spellEnd"/>
      <w:r>
        <w:rPr>
          <w:rFonts w:ascii="Arial" w:hAnsi="Arial" w:cs="Arial"/>
        </w:rPr>
        <w:t xml:space="preserve"> Rafaela do Nascimento Sátiro</w:t>
      </w:r>
      <w:r w:rsidR="00B96B4B">
        <w:rPr>
          <w:rStyle w:val="Refdenotaderodap"/>
          <w:rFonts w:ascii="Arial" w:hAnsi="Arial" w:cs="Arial"/>
        </w:rPr>
        <w:footnoteReference w:id="2"/>
      </w:r>
    </w:p>
    <w:p w14:paraId="338B24F2" w14:textId="77777777" w:rsidR="0021480E" w:rsidRDefault="0021480E" w:rsidP="0021480E">
      <w:pPr>
        <w:spacing w:line="360" w:lineRule="auto"/>
        <w:jc w:val="both"/>
        <w:rPr>
          <w:rFonts w:ascii="Arial" w:hAnsi="Arial" w:cs="Arial"/>
        </w:rPr>
      </w:pPr>
    </w:p>
    <w:p w14:paraId="7C83CE6D" w14:textId="354743D5" w:rsidR="00CB35B2" w:rsidRPr="00D27537" w:rsidRDefault="0060749B" w:rsidP="00B96B4B">
      <w:pPr>
        <w:spacing w:line="360" w:lineRule="auto"/>
        <w:jc w:val="both"/>
        <w:rPr>
          <w:sz w:val="20"/>
          <w:szCs w:val="20"/>
        </w:rPr>
      </w:pPr>
      <w:r>
        <w:rPr>
          <w:rFonts w:ascii="Arial" w:hAnsi="Arial" w:cs="Arial"/>
        </w:rPr>
        <w:t xml:space="preserve"> </w:t>
      </w:r>
      <w:r w:rsidR="0021480E" w:rsidRPr="00D27537">
        <w:rPr>
          <w:rFonts w:ascii="Arial" w:hAnsi="Arial" w:cs="Arial"/>
          <w:sz w:val="20"/>
          <w:szCs w:val="20"/>
        </w:rPr>
        <w:t xml:space="preserve">A palavra é de origem latina </w:t>
      </w:r>
      <w:proofErr w:type="spellStart"/>
      <w:r w:rsidR="0021480E" w:rsidRPr="00D27537">
        <w:rPr>
          <w:rFonts w:ascii="Arial" w:hAnsi="Arial" w:cs="Arial"/>
          <w:i/>
          <w:iCs/>
          <w:sz w:val="20"/>
          <w:szCs w:val="20"/>
        </w:rPr>
        <w:t>ludus</w:t>
      </w:r>
      <w:proofErr w:type="spellEnd"/>
      <w:r w:rsidR="0021480E" w:rsidRPr="00D27537">
        <w:rPr>
          <w:rFonts w:ascii="Arial" w:hAnsi="Arial" w:cs="Arial"/>
          <w:sz w:val="20"/>
          <w:szCs w:val="20"/>
        </w:rPr>
        <w:t xml:space="preserve"> e são consideradas essências para o desenvolvimento cognitivo, motor e socioafetivo das crianças</w:t>
      </w:r>
      <w:r w:rsidR="00EA6482">
        <w:rPr>
          <w:rFonts w:ascii="Arial" w:hAnsi="Arial" w:cs="Arial"/>
          <w:sz w:val="20"/>
          <w:szCs w:val="20"/>
        </w:rPr>
        <w:t xml:space="preserve"> em </w:t>
      </w:r>
      <w:r w:rsidR="0021480E" w:rsidRPr="00D27537">
        <w:rPr>
          <w:rFonts w:ascii="Arial" w:hAnsi="Arial" w:cs="Arial"/>
          <w:sz w:val="20"/>
          <w:szCs w:val="20"/>
        </w:rPr>
        <w:t xml:space="preserve">sua trajetória educacional e de aprendizagem. A ludicidade envolve as brincadeiras, os jogos e os </w:t>
      </w:r>
      <w:r w:rsidR="00846C78" w:rsidRPr="00D27537">
        <w:rPr>
          <w:rFonts w:ascii="Arial" w:hAnsi="Arial" w:cs="Arial"/>
          <w:sz w:val="20"/>
          <w:szCs w:val="20"/>
        </w:rPr>
        <w:t>brinquedos, ou</w:t>
      </w:r>
      <w:r w:rsidR="0021480E" w:rsidRPr="00D27537">
        <w:rPr>
          <w:rFonts w:ascii="Arial" w:hAnsi="Arial" w:cs="Arial"/>
          <w:sz w:val="20"/>
          <w:szCs w:val="20"/>
        </w:rPr>
        <w:t xml:space="preserve"> seja, as atividades prazerosas e expressões criativas. O ato de brincar é muito antigo, e vem sendo passado de geração em geração</w:t>
      </w:r>
      <w:r w:rsidR="00EA6482">
        <w:rPr>
          <w:rFonts w:ascii="Arial" w:hAnsi="Arial" w:cs="Arial"/>
          <w:sz w:val="20"/>
          <w:szCs w:val="20"/>
        </w:rPr>
        <w:t>, e por isso, o</w:t>
      </w:r>
      <w:r w:rsidR="0021480E" w:rsidRPr="00D27537">
        <w:rPr>
          <w:rFonts w:ascii="Arial" w:hAnsi="Arial" w:cs="Arial"/>
          <w:sz w:val="20"/>
          <w:szCs w:val="20"/>
        </w:rPr>
        <w:t xml:space="preserve"> fortalecimento de brincadeiras e jogos antigos, transmite os costumes entre </w:t>
      </w:r>
      <w:r w:rsidR="0098122D" w:rsidRPr="00D27537">
        <w:rPr>
          <w:rFonts w:ascii="Arial" w:hAnsi="Arial" w:cs="Arial"/>
          <w:sz w:val="20"/>
          <w:szCs w:val="20"/>
        </w:rPr>
        <w:t xml:space="preserve">os anciões e </w:t>
      </w:r>
      <w:r w:rsidR="0021480E" w:rsidRPr="00D27537">
        <w:rPr>
          <w:rFonts w:ascii="Arial" w:hAnsi="Arial" w:cs="Arial"/>
          <w:sz w:val="20"/>
          <w:szCs w:val="20"/>
        </w:rPr>
        <w:t>as crianças, para que não se perca, com o passar do tempo</w:t>
      </w:r>
      <w:r w:rsidR="0098122D" w:rsidRPr="00D27537">
        <w:rPr>
          <w:rFonts w:ascii="Arial" w:hAnsi="Arial" w:cs="Arial"/>
          <w:sz w:val="20"/>
          <w:szCs w:val="20"/>
        </w:rPr>
        <w:t xml:space="preserve">, o elo entre a criança, </w:t>
      </w:r>
      <w:r w:rsidR="00EA6482">
        <w:rPr>
          <w:rFonts w:ascii="Arial" w:hAnsi="Arial" w:cs="Arial"/>
          <w:sz w:val="20"/>
          <w:szCs w:val="20"/>
        </w:rPr>
        <w:t xml:space="preserve">os velhos </w:t>
      </w:r>
      <w:r w:rsidR="0098122D" w:rsidRPr="00D27537">
        <w:rPr>
          <w:rFonts w:ascii="Arial" w:hAnsi="Arial" w:cs="Arial"/>
          <w:sz w:val="20"/>
          <w:szCs w:val="20"/>
        </w:rPr>
        <w:t>e a vivência</w:t>
      </w:r>
      <w:r w:rsidR="0001322E" w:rsidRPr="00D27537">
        <w:rPr>
          <w:rFonts w:ascii="Arial" w:hAnsi="Arial" w:cs="Arial"/>
          <w:sz w:val="20"/>
          <w:szCs w:val="20"/>
        </w:rPr>
        <w:t>.</w:t>
      </w:r>
      <w:r w:rsidR="0021480E" w:rsidRPr="00D27537">
        <w:rPr>
          <w:rFonts w:ascii="Arial" w:hAnsi="Arial" w:cs="Arial"/>
          <w:sz w:val="20"/>
          <w:szCs w:val="20"/>
        </w:rPr>
        <w:t xml:space="preserve"> </w:t>
      </w:r>
      <w:r w:rsidR="0001322E" w:rsidRPr="00D27537">
        <w:rPr>
          <w:rFonts w:ascii="Arial" w:hAnsi="Arial" w:cs="Arial"/>
          <w:sz w:val="20"/>
          <w:szCs w:val="20"/>
        </w:rPr>
        <w:t>U</w:t>
      </w:r>
      <w:r w:rsidR="0021480E" w:rsidRPr="00D27537">
        <w:rPr>
          <w:rFonts w:ascii="Arial" w:hAnsi="Arial" w:cs="Arial"/>
          <w:sz w:val="20"/>
          <w:szCs w:val="20"/>
        </w:rPr>
        <w:t xml:space="preserve">ma vez que a imaginação, a criatividade e as fantasias, e todo o mítico do envolvimento com as passagens </w:t>
      </w:r>
      <w:r w:rsidR="0001322E" w:rsidRPr="00D27537">
        <w:rPr>
          <w:rFonts w:ascii="Arial" w:hAnsi="Arial" w:cs="Arial"/>
          <w:sz w:val="20"/>
          <w:szCs w:val="20"/>
        </w:rPr>
        <w:t xml:space="preserve">dos conhecimentos </w:t>
      </w:r>
      <w:r w:rsidR="0021480E" w:rsidRPr="00D27537">
        <w:rPr>
          <w:rFonts w:ascii="Arial" w:hAnsi="Arial" w:cs="Arial"/>
          <w:sz w:val="20"/>
          <w:szCs w:val="20"/>
        </w:rPr>
        <w:t>dos anciões</w:t>
      </w:r>
      <w:r w:rsidR="0001322E" w:rsidRPr="00D27537">
        <w:rPr>
          <w:rFonts w:ascii="Arial" w:hAnsi="Arial" w:cs="Arial"/>
          <w:sz w:val="20"/>
          <w:szCs w:val="20"/>
        </w:rPr>
        <w:t xml:space="preserve"> para as novas gerações</w:t>
      </w:r>
      <w:r w:rsidR="0021480E" w:rsidRPr="00D27537">
        <w:rPr>
          <w:rFonts w:ascii="Arial" w:hAnsi="Arial" w:cs="Arial"/>
          <w:sz w:val="20"/>
          <w:szCs w:val="20"/>
        </w:rPr>
        <w:t xml:space="preserve">, </w:t>
      </w:r>
      <w:r w:rsidR="0001322E" w:rsidRPr="00D27537">
        <w:rPr>
          <w:rFonts w:ascii="Arial" w:hAnsi="Arial" w:cs="Arial"/>
          <w:sz w:val="20"/>
          <w:szCs w:val="20"/>
        </w:rPr>
        <w:t xml:space="preserve">trazem em </w:t>
      </w:r>
      <w:r w:rsidR="0021480E" w:rsidRPr="00D27537">
        <w:rPr>
          <w:rFonts w:ascii="Arial" w:hAnsi="Arial" w:cs="Arial"/>
          <w:sz w:val="20"/>
          <w:szCs w:val="20"/>
        </w:rPr>
        <w:t>formas de diversão</w:t>
      </w:r>
      <w:r w:rsidR="0001322E" w:rsidRPr="00D27537">
        <w:rPr>
          <w:rFonts w:ascii="Arial" w:hAnsi="Arial" w:cs="Arial"/>
          <w:sz w:val="20"/>
          <w:szCs w:val="20"/>
        </w:rPr>
        <w:t xml:space="preserve">, a passagem dos encantamentos. </w:t>
      </w:r>
      <w:r w:rsidR="0021480E" w:rsidRPr="00D27537">
        <w:rPr>
          <w:rFonts w:ascii="Arial" w:hAnsi="Arial" w:cs="Arial"/>
          <w:sz w:val="20"/>
          <w:szCs w:val="20"/>
        </w:rPr>
        <w:t xml:space="preserve">Considerando </w:t>
      </w:r>
      <w:r w:rsidR="0001322E" w:rsidRPr="00D27537">
        <w:rPr>
          <w:rFonts w:ascii="Arial" w:hAnsi="Arial" w:cs="Arial"/>
          <w:sz w:val="20"/>
          <w:szCs w:val="20"/>
        </w:rPr>
        <w:t xml:space="preserve">todos </w:t>
      </w:r>
      <w:r w:rsidR="0021480E" w:rsidRPr="00D27537">
        <w:rPr>
          <w:rFonts w:ascii="Arial" w:hAnsi="Arial" w:cs="Arial"/>
          <w:sz w:val="20"/>
          <w:szCs w:val="20"/>
        </w:rPr>
        <w:t xml:space="preserve">os aspectos </w:t>
      </w:r>
      <w:r w:rsidR="0001322E" w:rsidRPr="00D27537">
        <w:rPr>
          <w:rFonts w:ascii="Arial" w:hAnsi="Arial" w:cs="Arial"/>
          <w:sz w:val="20"/>
          <w:szCs w:val="20"/>
        </w:rPr>
        <w:t>d</w:t>
      </w:r>
      <w:r w:rsidR="0021480E" w:rsidRPr="00D27537">
        <w:rPr>
          <w:rFonts w:ascii="Arial" w:hAnsi="Arial" w:cs="Arial"/>
          <w:sz w:val="20"/>
          <w:szCs w:val="20"/>
        </w:rPr>
        <w:t>a escola</w:t>
      </w:r>
      <w:r w:rsidR="0001322E" w:rsidRPr="00D27537">
        <w:rPr>
          <w:rFonts w:ascii="Arial" w:hAnsi="Arial" w:cs="Arial"/>
          <w:sz w:val="20"/>
          <w:szCs w:val="20"/>
        </w:rPr>
        <w:t xml:space="preserve"> tradicional, em formações que buscam, o ingresso do indígena ao ambiente </w:t>
      </w:r>
      <w:r w:rsidR="00EA6482">
        <w:rPr>
          <w:rFonts w:ascii="Arial" w:hAnsi="Arial" w:cs="Arial"/>
          <w:sz w:val="20"/>
          <w:szCs w:val="20"/>
        </w:rPr>
        <w:t xml:space="preserve">de sala de aula, </w:t>
      </w:r>
      <w:proofErr w:type="gramStart"/>
      <w:r w:rsidR="00EA6482">
        <w:rPr>
          <w:rFonts w:ascii="Arial" w:hAnsi="Arial" w:cs="Arial"/>
          <w:sz w:val="20"/>
          <w:szCs w:val="20"/>
        </w:rPr>
        <w:t xml:space="preserve">é </w:t>
      </w:r>
      <w:r w:rsidR="0001322E" w:rsidRPr="00D27537">
        <w:rPr>
          <w:rFonts w:ascii="Arial" w:hAnsi="Arial" w:cs="Arial"/>
          <w:sz w:val="20"/>
          <w:szCs w:val="20"/>
        </w:rPr>
        <w:t xml:space="preserve"> </w:t>
      </w:r>
      <w:r w:rsidR="0021480E" w:rsidRPr="00D27537">
        <w:rPr>
          <w:rFonts w:ascii="Arial" w:hAnsi="Arial" w:cs="Arial"/>
          <w:sz w:val="20"/>
          <w:szCs w:val="20"/>
        </w:rPr>
        <w:t>um</w:t>
      </w:r>
      <w:proofErr w:type="gramEnd"/>
      <w:r w:rsidR="0021480E" w:rsidRPr="00D27537">
        <w:rPr>
          <w:rFonts w:ascii="Arial" w:hAnsi="Arial" w:cs="Arial"/>
          <w:sz w:val="20"/>
          <w:szCs w:val="20"/>
        </w:rPr>
        <w:t xml:space="preserve"> dos grandes desafios para as(os) educadores </w:t>
      </w:r>
      <w:r w:rsidR="0001322E" w:rsidRPr="00D27537">
        <w:rPr>
          <w:rFonts w:ascii="Arial" w:hAnsi="Arial" w:cs="Arial"/>
          <w:sz w:val="20"/>
          <w:szCs w:val="20"/>
        </w:rPr>
        <w:t>indígenas, nas séries</w:t>
      </w:r>
      <w:r w:rsidR="0021480E" w:rsidRPr="00D27537">
        <w:rPr>
          <w:rFonts w:ascii="Arial" w:hAnsi="Arial" w:cs="Arial"/>
          <w:sz w:val="20"/>
          <w:szCs w:val="20"/>
        </w:rPr>
        <w:t xml:space="preserve"> iniciais, onde as crianças estão na fase da alfabetização,</w:t>
      </w:r>
      <w:r w:rsidR="00846C78" w:rsidRPr="00D27537">
        <w:rPr>
          <w:rFonts w:ascii="Arial" w:hAnsi="Arial" w:cs="Arial"/>
          <w:sz w:val="20"/>
          <w:szCs w:val="20"/>
        </w:rPr>
        <w:t xml:space="preserve"> </w:t>
      </w:r>
      <w:r w:rsidR="0098122D" w:rsidRPr="00D27537">
        <w:rPr>
          <w:rFonts w:ascii="Arial" w:hAnsi="Arial" w:cs="Arial"/>
          <w:sz w:val="20"/>
          <w:szCs w:val="20"/>
        </w:rPr>
        <w:t>em que as</w:t>
      </w:r>
      <w:r w:rsidR="00846C78" w:rsidRPr="00D27537">
        <w:rPr>
          <w:rFonts w:ascii="Arial" w:hAnsi="Arial" w:cs="Arial"/>
          <w:sz w:val="20"/>
          <w:szCs w:val="20"/>
        </w:rPr>
        <w:t xml:space="preserve"> </w:t>
      </w:r>
      <w:r w:rsidR="0021480E" w:rsidRPr="00D27537">
        <w:rPr>
          <w:rFonts w:ascii="Arial" w:hAnsi="Arial" w:cs="Arial"/>
          <w:sz w:val="20"/>
          <w:szCs w:val="20"/>
        </w:rPr>
        <w:t>atividades precisam ser bem pensadas de maneira a</w:t>
      </w:r>
      <w:r w:rsidR="00EA6482">
        <w:rPr>
          <w:rFonts w:ascii="Arial" w:hAnsi="Arial" w:cs="Arial"/>
          <w:sz w:val="20"/>
          <w:szCs w:val="20"/>
        </w:rPr>
        <w:t xml:space="preserve"> não desconectar aos sagrados</w:t>
      </w:r>
      <w:r w:rsidR="0098122D" w:rsidRPr="00D27537">
        <w:rPr>
          <w:rFonts w:ascii="Arial" w:hAnsi="Arial" w:cs="Arial"/>
          <w:sz w:val="20"/>
          <w:szCs w:val="20"/>
        </w:rPr>
        <w:t>.</w:t>
      </w:r>
      <w:r w:rsidR="0021480E" w:rsidRPr="00D27537">
        <w:rPr>
          <w:rFonts w:ascii="Arial" w:hAnsi="Arial" w:cs="Arial"/>
          <w:sz w:val="20"/>
          <w:szCs w:val="20"/>
        </w:rPr>
        <w:t xml:space="preserve"> </w:t>
      </w:r>
      <w:r w:rsidR="0098122D" w:rsidRPr="00D27537">
        <w:rPr>
          <w:rFonts w:ascii="Arial" w:hAnsi="Arial" w:cs="Arial"/>
          <w:sz w:val="20"/>
          <w:szCs w:val="20"/>
        </w:rPr>
        <w:t xml:space="preserve">Os educadores indígenas, buscam </w:t>
      </w:r>
      <w:r w:rsidR="0021480E" w:rsidRPr="00D27537">
        <w:rPr>
          <w:rFonts w:ascii="Arial" w:hAnsi="Arial" w:cs="Arial"/>
          <w:sz w:val="20"/>
          <w:szCs w:val="20"/>
        </w:rPr>
        <w:t>elementos que contribu</w:t>
      </w:r>
      <w:r w:rsidR="00846C78" w:rsidRPr="00D27537">
        <w:rPr>
          <w:rFonts w:ascii="Arial" w:hAnsi="Arial" w:cs="Arial"/>
          <w:sz w:val="20"/>
          <w:szCs w:val="20"/>
        </w:rPr>
        <w:t>am</w:t>
      </w:r>
      <w:r w:rsidR="0021480E" w:rsidRPr="00D27537">
        <w:rPr>
          <w:rFonts w:ascii="Arial" w:hAnsi="Arial" w:cs="Arial"/>
          <w:sz w:val="20"/>
          <w:szCs w:val="20"/>
        </w:rPr>
        <w:t xml:space="preserve"> para o aprendizado das crianças</w:t>
      </w:r>
      <w:r w:rsidR="00846C78" w:rsidRPr="00D27537">
        <w:rPr>
          <w:rFonts w:ascii="Arial" w:hAnsi="Arial" w:cs="Arial"/>
          <w:sz w:val="20"/>
          <w:szCs w:val="20"/>
        </w:rPr>
        <w:t>, mas sem perde a conexão com os encantamentos da natureza</w:t>
      </w:r>
      <w:r w:rsidR="00EA6482">
        <w:rPr>
          <w:rFonts w:ascii="Arial" w:hAnsi="Arial" w:cs="Arial"/>
          <w:sz w:val="20"/>
          <w:szCs w:val="20"/>
        </w:rPr>
        <w:t>,</w:t>
      </w:r>
      <w:r w:rsidR="00846C78" w:rsidRPr="00D27537">
        <w:rPr>
          <w:rFonts w:ascii="Arial" w:hAnsi="Arial" w:cs="Arial"/>
          <w:sz w:val="20"/>
          <w:szCs w:val="20"/>
        </w:rPr>
        <w:t xml:space="preserve"> e o todo que os identifique como detentores de conhecimentos</w:t>
      </w:r>
      <w:r w:rsidR="00EA6482">
        <w:rPr>
          <w:rFonts w:ascii="Arial" w:hAnsi="Arial" w:cs="Arial"/>
          <w:sz w:val="20"/>
          <w:szCs w:val="20"/>
        </w:rPr>
        <w:t>,</w:t>
      </w:r>
      <w:r w:rsidR="00846C78" w:rsidRPr="00D27537">
        <w:rPr>
          <w:rFonts w:ascii="Arial" w:hAnsi="Arial" w:cs="Arial"/>
          <w:sz w:val="20"/>
          <w:szCs w:val="20"/>
        </w:rPr>
        <w:t xml:space="preserve"> que também fazem parte de outras formas de estar no mundo</w:t>
      </w:r>
      <w:r w:rsidR="001E4186">
        <w:rPr>
          <w:rFonts w:ascii="Arial" w:hAnsi="Arial" w:cs="Arial"/>
          <w:sz w:val="20"/>
          <w:szCs w:val="20"/>
        </w:rPr>
        <w:t>. E</w:t>
      </w:r>
      <w:r w:rsidR="0098122D" w:rsidRPr="00D27537">
        <w:rPr>
          <w:rFonts w:ascii="Arial" w:hAnsi="Arial" w:cs="Arial"/>
          <w:sz w:val="20"/>
          <w:szCs w:val="20"/>
        </w:rPr>
        <w:t xml:space="preserve">m </w:t>
      </w:r>
      <w:r w:rsidR="000B38C2" w:rsidRPr="00D27537">
        <w:rPr>
          <w:rFonts w:ascii="Arial" w:hAnsi="Arial" w:cs="Arial"/>
          <w:sz w:val="20"/>
          <w:szCs w:val="20"/>
        </w:rPr>
        <w:t>condições de valorização de sua identidade, mas</w:t>
      </w:r>
      <w:r w:rsidR="00846C78" w:rsidRPr="00D27537">
        <w:rPr>
          <w:rFonts w:ascii="Arial" w:hAnsi="Arial" w:cs="Arial"/>
          <w:sz w:val="20"/>
          <w:szCs w:val="20"/>
        </w:rPr>
        <w:t xml:space="preserve"> de forma prazerosa e divertida</w:t>
      </w:r>
      <w:r w:rsidR="001E4186">
        <w:rPr>
          <w:rFonts w:ascii="Arial" w:hAnsi="Arial" w:cs="Arial"/>
          <w:sz w:val="20"/>
          <w:szCs w:val="20"/>
        </w:rPr>
        <w:t>, o povo Taboa Pankararu, buscam</w:t>
      </w:r>
      <w:r w:rsidR="000B38C2" w:rsidRPr="00D27537">
        <w:rPr>
          <w:rFonts w:ascii="Arial" w:hAnsi="Arial" w:cs="Arial"/>
          <w:sz w:val="20"/>
          <w:szCs w:val="20"/>
        </w:rPr>
        <w:t xml:space="preserve"> produções de cartilhas próprias</w:t>
      </w:r>
      <w:r w:rsidR="001E4186">
        <w:rPr>
          <w:rFonts w:ascii="Arial" w:hAnsi="Arial" w:cs="Arial"/>
          <w:sz w:val="20"/>
          <w:szCs w:val="20"/>
        </w:rPr>
        <w:t>. Com</w:t>
      </w:r>
      <w:r w:rsidR="00B96B4B" w:rsidRPr="00B96B4B">
        <w:rPr>
          <w:rFonts w:ascii="Arial" w:hAnsi="Arial" w:cs="Arial"/>
          <w:sz w:val="20"/>
          <w:szCs w:val="20"/>
        </w:rPr>
        <w:t xml:space="preserve"> embasamento teórico em autores que discutem a temática que envolve as atividades lúdicas</w:t>
      </w:r>
      <w:r w:rsidR="00B96B4B">
        <w:rPr>
          <w:rFonts w:ascii="Arial" w:hAnsi="Arial" w:cs="Arial"/>
          <w:sz w:val="20"/>
          <w:szCs w:val="20"/>
        </w:rPr>
        <w:t xml:space="preserve"> de </w:t>
      </w:r>
      <w:r w:rsidR="00B96B4B" w:rsidRPr="00B96B4B">
        <w:rPr>
          <w:rFonts w:ascii="Arial" w:hAnsi="Arial" w:cs="Arial"/>
          <w:sz w:val="20"/>
          <w:szCs w:val="20"/>
        </w:rPr>
        <w:t>aprendizagens na infância, como Vygotsky, Kishimoto, Almeida, Oliveira e Olivier</w:t>
      </w:r>
      <w:r w:rsidR="001E4186">
        <w:rPr>
          <w:rFonts w:ascii="Arial" w:hAnsi="Arial" w:cs="Arial"/>
          <w:sz w:val="20"/>
          <w:szCs w:val="20"/>
        </w:rPr>
        <w:t xml:space="preserve"> e</w:t>
      </w:r>
      <w:r w:rsidR="00B96B4B">
        <w:rPr>
          <w:rFonts w:ascii="Arial" w:hAnsi="Arial" w:cs="Arial"/>
          <w:sz w:val="20"/>
          <w:szCs w:val="20"/>
        </w:rPr>
        <w:t xml:space="preserve"> </w:t>
      </w:r>
      <w:r w:rsidR="00B96B4B" w:rsidRPr="00B96B4B">
        <w:rPr>
          <w:rFonts w:ascii="Arial" w:hAnsi="Arial" w:cs="Arial"/>
          <w:sz w:val="20"/>
          <w:szCs w:val="20"/>
        </w:rPr>
        <w:t>documentos legais como a BNCC,</w:t>
      </w:r>
      <w:r w:rsidR="00B96B4B" w:rsidRPr="00E45085">
        <w:rPr>
          <w:rFonts w:ascii="Arial" w:hAnsi="Arial" w:cs="Arial"/>
        </w:rPr>
        <w:t xml:space="preserve"> </w:t>
      </w:r>
      <w:r w:rsidR="00B96B4B" w:rsidRPr="00B96B4B">
        <w:rPr>
          <w:rFonts w:ascii="Arial" w:hAnsi="Arial" w:cs="Arial"/>
          <w:sz w:val="20"/>
          <w:szCs w:val="20"/>
        </w:rPr>
        <w:t>os Referenciais Curriculares para Educação Infantil</w:t>
      </w:r>
      <w:r w:rsidR="00B96B4B">
        <w:rPr>
          <w:rFonts w:ascii="Arial" w:hAnsi="Arial" w:cs="Arial"/>
          <w:sz w:val="20"/>
          <w:szCs w:val="20"/>
        </w:rPr>
        <w:t xml:space="preserve">, mas, principalmente, </w:t>
      </w:r>
      <w:r w:rsidR="001E4186">
        <w:rPr>
          <w:rFonts w:ascii="Arial" w:hAnsi="Arial" w:cs="Arial"/>
          <w:sz w:val="20"/>
          <w:szCs w:val="20"/>
        </w:rPr>
        <w:t xml:space="preserve">evidenciam </w:t>
      </w:r>
      <w:r w:rsidR="00B96B4B">
        <w:rPr>
          <w:rFonts w:ascii="Arial" w:hAnsi="Arial" w:cs="Arial"/>
          <w:sz w:val="20"/>
          <w:szCs w:val="20"/>
        </w:rPr>
        <w:t xml:space="preserve">as pesquisas de campo em vivência </w:t>
      </w:r>
      <w:proofErr w:type="spellStart"/>
      <w:r w:rsidR="00B96B4B">
        <w:rPr>
          <w:rFonts w:ascii="Arial" w:hAnsi="Arial" w:cs="Arial"/>
          <w:sz w:val="20"/>
          <w:szCs w:val="20"/>
        </w:rPr>
        <w:t>etno</w:t>
      </w:r>
      <w:r w:rsidR="001E4186">
        <w:rPr>
          <w:rFonts w:ascii="Arial" w:hAnsi="Arial" w:cs="Arial"/>
          <w:sz w:val="20"/>
          <w:szCs w:val="20"/>
        </w:rPr>
        <w:t>sensoriais</w:t>
      </w:r>
      <w:proofErr w:type="spellEnd"/>
      <w:r w:rsidR="00B96B4B">
        <w:rPr>
          <w:rFonts w:ascii="Arial" w:hAnsi="Arial" w:cs="Arial"/>
          <w:sz w:val="20"/>
          <w:szCs w:val="20"/>
        </w:rPr>
        <w:t xml:space="preserve"> entre o passado e o futuro.</w:t>
      </w:r>
    </w:p>
    <w:sectPr w:rsidR="00CB35B2" w:rsidRPr="00D275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B6460" w14:textId="77777777" w:rsidR="00D27537" w:rsidRDefault="00D27537" w:rsidP="00D27537">
      <w:pPr>
        <w:spacing w:after="0" w:line="240" w:lineRule="auto"/>
      </w:pPr>
      <w:r>
        <w:separator/>
      </w:r>
    </w:p>
  </w:endnote>
  <w:endnote w:type="continuationSeparator" w:id="0">
    <w:p w14:paraId="6CC5A468" w14:textId="77777777" w:rsidR="00D27537" w:rsidRDefault="00D27537" w:rsidP="00D27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3B7AD" w14:textId="77777777" w:rsidR="00D27537" w:rsidRDefault="00D27537" w:rsidP="00D27537">
      <w:pPr>
        <w:spacing w:after="0" w:line="240" w:lineRule="auto"/>
      </w:pPr>
      <w:r>
        <w:separator/>
      </w:r>
    </w:p>
  </w:footnote>
  <w:footnote w:type="continuationSeparator" w:id="0">
    <w:p w14:paraId="5A347EBA" w14:textId="77777777" w:rsidR="00D27537" w:rsidRDefault="00D27537" w:rsidP="00D27537">
      <w:pPr>
        <w:spacing w:after="0" w:line="240" w:lineRule="auto"/>
      </w:pPr>
      <w:r>
        <w:continuationSeparator/>
      </w:r>
    </w:p>
  </w:footnote>
  <w:footnote w:id="1">
    <w:p w14:paraId="390E67F9" w14:textId="1C698BBA" w:rsidR="00D27537" w:rsidRDefault="00D27537" w:rsidP="00D27537">
      <w:pPr>
        <w:pStyle w:val="Textodenotaderodap"/>
        <w:jc w:val="both"/>
      </w:pPr>
      <w:r>
        <w:rPr>
          <w:rStyle w:val="Refdenotaderodap"/>
        </w:rPr>
        <w:footnoteRef/>
      </w:r>
      <w:r>
        <w:t xml:space="preserve"> Possui graduação em Filosofia pela Universidade Estadual de Santa Cruz (2015). Tem experiência na área de Filosofia, a linha de estudo em Hermenêutica, com ênfase na problemática e diferença epistemológica das Ciências Humanas e Naturais, com base fundamentada filosoficamente em Wilhelm </w:t>
      </w:r>
      <w:proofErr w:type="spellStart"/>
      <w:r>
        <w:t>Dilthey</w:t>
      </w:r>
      <w:proofErr w:type="spellEnd"/>
      <w:r>
        <w:t>. Especialista em Ciência Jurídico-Filosófica pela Faculdade de Direito-Universidade de Lisboa (FDUL); especialista em Direito Internacional e Direitos Humanos pela Pontifícia Universidade Católica - PUC MINAS- Mestra em Ciências Jurídica pela Faculdade de Direito- Universidade de Lisboa FDUL). Doutoranda em Direito no Programa de Pós-graduação em Direito da Universidade Federal da Bahia, em estudos voltados ao Pluralismo Jurídico e Ecologia do Direito na Diversidade cultural dos povos indígenas.</w:t>
      </w:r>
      <w:r w:rsidR="00EC5748">
        <w:t xml:space="preserve"> Graduanda em Educação Especial, </w:t>
      </w:r>
      <w:proofErr w:type="spellStart"/>
      <w:r w:rsidR="00EC5748">
        <w:t>Coordeandora</w:t>
      </w:r>
      <w:proofErr w:type="spellEnd"/>
      <w:r w:rsidR="00EC5748">
        <w:t xml:space="preserve"> Geral de Educação do Povo Taboa Pankararu.</w:t>
      </w:r>
    </w:p>
  </w:footnote>
  <w:footnote w:id="2">
    <w:p w14:paraId="6A316EC9" w14:textId="6E51DD79" w:rsidR="00B96B4B" w:rsidRDefault="00B96B4B">
      <w:pPr>
        <w:pStyle w:val="Textodenotaderodap"/>
      </w:pPr>
      <w:r>
        <w:rPr>
          <w:rStyle w:val="Refdenotaderodap"/>
        </w:rPr>
        <w:footnoteRef/>
      </w:r>
      <w:r>
        <w:t xml:space="preserve">  Graduada em </w:t>
      </w:r>
      <w:r w:rsidR="00EC5748">
        <w:t>Pedagogia</w:t>
      </w:r>
      <w:r>
        <w:t xml:space="preserve">, Licenciada em Pedagogia Intercultural, Liderança indígena e Coordenadora </w:t>
      </w:r>
      <w:r w:rsidR="00EC5748">
        <w:t>Pedagógica</w:t>
      </w:r>
      <w:r>
        <w:t xml:space="preserve"> das Escolas Taboa Panka</w:t>
      </w:r>
      <w:r w:rsidR="00EC5748">
        <w:t>r</w:t>
      </w:r>
      <w:r>
        <w:t>aru.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80E"/>
    <w:rsid w:val="0001322E"/>
    <w:rsid w:val="000B38C2"/>
    <w:rsid w:val="001E4186"/>
    <w:rsid w:val="0021480E"/>
    <w:rsid w:val="0060749B"/>
    <w:rsid w:val="00846C78"/>
    <w:rsid w:val="0098122D"/>
    <w:rsid w:val="00B96B4B"/>
    <w:rsid w:val="00CB35B2"/>
    <w:rsid w:val="00D27537"/>
    <w:rsid w:val="00EA6482"/>
    <w:rsid w:val="00EC5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CC8E9"/>
  <w15:chartTrackingRefBased/>
  <w15:docId w15:val="{7EF2624F-8347-40BC-A12F-B49DD0B59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80E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uiPriority w:val="99"/>
    <w:unhideWhenUsed/>
    <w:rsid w:val="00D2753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D27537"/>
    <w:rPr>
      <w:kern w:val="2"/>
      <w:sz w:val="20"/>
      <w:szCs w:val="20"/>
      <w14:ligatures w14:val="standardContextual"/>
    </w:rPr>
  </w:style>
  <w:style w:type="character" w:styleId="Refdenotaderodap">
    <w:name w:val="footnote reference"/>
    <w:basedOn w:val="Fontepargpadro"/>
    <w:uiPriority w:val="99"/>
    <w:semiHidden/>
    <w:unhideWhenUsed/>
    <w:rsid w:val="00D2753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A3DB5-1D31-431D-8FAB-FED2B1A16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330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LIMA</dc:creator>
  <cp:keywords/>
  <dc:description/>
  <cp:lastModifiedBy>Jana pankararu</cp:lastModifiedBy>
  <cp:revision>3</cp:revision>
  <dcterms:created xsi:type="dcterms:W3CDTF">2026-07-31T01:40:00Z</dcterms:created>
  <dcterms:modified xsi:type="dcterms:W3CDTF">2026-08-16T17:00:00Z</dcterms:modified>
</cp:coreProperties>
</file>