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7F13E5" w14:textId="06F23F95" w:rsidR="007505CA" w:rsidRPr="00FC4533" w:rsidRDefault="00FC4533" w:rsidP="00FC4533">
      <w:pPr>
        <w:pStyle w:val="Ttulo2"/>
        <w:jc w:val="center"/>
        <w:rPr>
          <w:b/>
          <w:bCs/>
          <w:sz w:val="24"/>
          <w:szCs w:val="24"/>
        </w:rPr>
      </w:pPr>
      <w:r w:rsidRPr="00FC4533">
        <w:rPr>
          <w:b/>
          <w:bCs/>
          <w:sz w:val="24"/>
          <w:szCs w:val="24"/>
        </w:rPr>
        <w:t>C</w:t>
      </w:r>
      <w:r>
        <w:rPr>
          <w:b/>
          <w:bCs/>
          <w:sz w:val="24"/>
          <w:szCs w:val="24"/>
        </w:rPr>
        <w:t>ONSERVATÓRIO</w:t>
      </w:r>
      <w:r w:rsidRPr="00FC4533">
        <w:rPr>
          <w:b/>
          <w:bCs/>
          <w:sz w:val="24"/>
          <w:szCs w:val="24"/>
        </w:rPr>
        <w:t xml:space="preserve"> 1 – EDUCAÇÃO INDÍGENA, EDUCAÇÃO ESCOLAR INDÍGENA E INTERCULTURALIDADE: NARRATIVAS, EXPERIÊNCIAS E CAMINHOS DE TRANSFORMAÇÃO</w:t>
      </w:r>
    </w:p>
    <w:p w14:paraId="321FD662" w14:textId="77777777" w:rsidR="007505CA" w:rsidRDefault="007505CA">
      <w:pPr>
        <w:keepLines/>
        <w:widowControl w:val="0"/>
        <w:spacing w:line="240" w:lineRule="auto"/>
        <w:rPr>
          <w:b/>
          <w:bCs/>
          <w:sz w:val="24"/>
          <w:szCs w:val="24"/>
        </w:rPr>
      </w:pPr>
    </w:p>
    <w:p w14:paraId="0A7037EF" w14:textId="76D89DA9" w:rsidR="007505CA" w:rsidRDefault="00000000">
      <w:pPr>
        <w:keepLines/>
        <w:widowControl w:val="0"/>
        <w:spacing w:line="240" w:lineRule="auto"/>
        <w:jc w:val="center"/>
        <w:rPr>
          <w:b/>
          <w:bCs/>
          <w:sz w:val="24"/>
          <w:szCs w:val="24"/>
        </w:rPr>
      </w:pPr>
      <w:r>
        <w:rPr>
          <w:b/>
          <w:bCs/>
          <w:sz w:val="24"/>
          <w:szCs w:val="24"/>
        </w:rPr>
        <w:t xml:space="preserve"> </w:t>
      </w:r>
      <w:r w:rsidR="00FC4533" w:rsidRPr="00FC4533">
        <w:rPr>
          <w:b/>
          <w:bCs/>
          <w:sz w:val="24"/>
          <w:szCs w:val="24"/>
        </w:rPr>
        <w:t>E</w:t>
      </w:r>
      <w:r w:rsidR="00FC4533">
        <w:rPr>
          <w:b/>
          <w:bCs/>
          <w:sz w:val="24"/>
          <w:szCs w:val="24"/>
        </w:rPr>
        <w:t>ntre</w:t>
      </w:r>
      <w:r w:rsidR="00FC4533" w:rsidRPr="00FC4533">
        <w:rPr>
          <w:b/>
          <w:bCs/>
          <w:sz w:val="24"/>
          <w:szCs w:val="24"/>
        </w:rPr>
        <w:t xml:space="preserve"> A</w:t>
      </w:r>
      <w:r w:rsidR="00FC4533">
        <w:rPr>
          <w:b/>
          <w:bCs/>
          <w:sz w:val="24"/>
          <w:szCs w:val="24"/>
        </w:rPr>
        <w:t>ncestralidades e Outros Saberes: Narrativas e Interculturalidade na Doutrina do Vale do Amanhecer</w:t>
      </w:r>
    </w:p>
    <w:p w14:paraId="459D0ED6" w14:textId="77777777" w:rsidR="007505CA" w:rsidRDefault="007505CA">
      <w:pPr>
        <w:keepLines/>
        <w:widowControl w:val="0"/>
        <w:spacing w:line="240" w:lineRule="auto"/>
        <w:jc w:val="right"/>
        <w:rPr>
          <w:sz w:val="24"/>
          <w:szCs w:val="24"/>
        </w:rPr>
      </w:pPr>
    </w:p>
    <w:p w14:paraId="354EF392" w14:textId="146C562D" w:rsidR="007505CA" w:rsidRDefault="00FC4533">
      <w:pPr>
        <w:keepLines/>
        <w:widowControl w:val="0"/>
        <w:spacing w:line="240" w:lineRule="auto"/>
        <w:jc w:val="right"/>
        <w:rPr>
          <w:sz w:val="24"/>
          <w:szCs w:val="24"/>
        </w:rPr>
      </w:pPr>
      <w:r>
        <w:rPr>
          <w:sz w:val="24"/>
          <w:szCs w:val="24"/>
        </w:rPr>
        <w:t>Rejane Barbosa de Sousa 1, Universidade de Brasília, e-mail: resousa2@gmail.com</w:t>
      </w:r>
    </w:p>
    <w:p w14:paraId="30E2FAFC" w14:textId="31436046" w:rsidR="007505CA" w:rsidRDefault="007505CA">
      <w:pPr>
        <w:keepLines/>
        <w:widowControl w:val="0"/>
        <w:spacing w:line="240" w:lineRule="auto"/>
        <w:jc w:val="right"/>
        <w:rPr>
          <w:sz w:val="24"/>
          <w:szCs w:val="24"/>
        </w:rPr>
      </w:pPr>
    </w:p>
    <w:p w14:paraId="0D1A3A58" w14:textId="77777777" w:rsidR="007505CA" w:rsidRDefault="007505CA">
      <w:pPr>
        <w:keepLines/>
        <w:widowControl w:val="0"/>
        <w:spacing w:line="240" w:lineRule="auto"/>
        <w:rPr>
          <w:sz w:val="24"/>
          <w:szCs w:val="24"/>
        </w:rPr>
      </w:pPr>
    </w:p>
    <w:p w14:paraId="423CF871" w14:textId="77777777" w:rsidR="007505CA" w:rsidRDefault="007505CA">
      <w:pPr>
        <w:keepLines/>
        <w:widowControl w:val="0"/>
        <w:spacing w:line="240" w:lineRule="auto"/>
        <w:rPr>
          <w:sz w:val="24"/>
          <w:szCs w:val="24"/>
        </w:rPr>
      </w:pPr>
    </w:p>
    <w:p w14:paraId="3813E2EA" w14:textId="77777777" w:rsidR="007505CA" w:rsidRDefault="007505CA">
      <w:pPr>
        <w:keepLines/>
        <w:widowControl w:val="0"/>
        <w:spacing w:line="360" w:lineRule="auto"/>
        <w:rPr>
          <w:b/>
          <w:bCs/>
          <w:sz w:val="24"/>
          <w:szCs w:val="24"/>
        </w:rPr>
      </w:pPr>
    </w:p>
    <w:p w14:paraId="6DF4F901" w14:textId="77777777" w:rsidR="007505CA" w:rsidRDefault="00000000">
      <w:pPr>
        <w:keepLines/>
        <w:widowControl w:val="0"/>
        <w:spacing w:line="360" w:lineRule="auto"/>
        <w:rPr>
          <w:b/>
          <w:bCs/>
          <w:sz w:val="24"/>
          <w:szCs w:val="24"/>
        </w:rPr>
      </w:pPr>
      <w:r>
        <w:rPr>
          <w:b/>
          <w:bCs/>
          <w:sz w:val="24"/>
          <w:szCs w:val="24"/>
        </w:rPr>
        <w:t>RESUMO</w:t>
      </w:r>
    </w:p>
    <w:p w14:paraId="1BBBEE87" w14:textId="649D30D1" w:rsidR="000D7EBF" w:rsidRPr="000D7EBF" w:rsidRDefault="000D7EBF" w:rsidP="000D7EBF">
      <w:pPr>
        <w:spacing w:after="200" w:line="240" w:lineRule="auto"/>
        <w:ind w:firstLine="720"/>
        <w:jc w:val="both"/>
        <w:rPr>
          <w:sz w:val="24"/>
          <w:szCs w:val="24"/>
        </w:rPr>
      </w:pPr>
      <w:r w:rsidRPr="000D7EBF">
        <w:rPr>
          <w:sz w:val="24"/>
          <w:szCs w:val="24"/>
        </w:rPr>
        <w:t>O presente resumo expandido propõe uma reflexão sobre as narrativas, ancestralidades e outros saberes presentes no Vale do Amanhecer, localizado em Planaltina-DF, buscando compreender como essas dimensões podem ser interpretadas a partir da interculturalidade e da perspectiva decolonial. A pesquisa parte da compreensão de que o espaço geográfico não é constituído apenas por relações econômicas, políticas e materiais, mas também por memórias, símbolos, práticas culturais, narrativas e diferentes formas de conhecimento produzidas pelos sujeitos que o vivenciam. Nessa perspectiva, o Vale do Amanhecer é tomado como objeto de análise por apresentar uma experiência religiosa marcada pela articulação de diferentes referências culturais e simbólicas no interior da Doutrina do Amanhecer. Entre essas referências destacam-se Pai Seta Branca, os Caboclos, os Cavaleiros, os Pretos Velhos e outras figuras que integram a cosmologia da comunidade. O objetivo é compreender como essas narrativas de ancestralidade são construídas, transmitidas e ressignificadas no interior da comunidade e de que maneira podem contribuir para uma reflexão sobre interculturalidade, pluralidade de saberes e produção de sentidos sobre o espaço. A questão central que orienta a investigação é: de que maneira as narrativas de ancestralidade presentes no Vale do Amanhecer podem ser compreendidas como parte de uma experiência intercultural, sem que sejam confundidas com as cosmologias de povos indígenas específicos?</w:t>
      </w:r>
      <w:r>
        <w:rPr>
          <w:sz w:val="24"/>
          <w:szCs w:val="24"/>
        </w:rPr>
        <w:t xml:space="preserve"> </w:t>
      </w:r>
      <w:r w:rsidRPr="000D7EBF">
        <w:rPr>
          <w:sz w:val="24"/>
          <w:szCs w:val="24"/>
        </w:rPr>
        <w:t xml:space="preserve">A problemática encontra fundamento na necessidade de ampliar o olhar geográfico sobre os diferentes sujeitos, experiências e conhecimentos que participam da produção do espaço. Maria Adélia de Souza, em </w:t>
      </w:r>
      <w:r w:rsidRPr="000D7EBF">
        <w:rPr>
          <w:i/>
          <w:iCs/>
          <w:sz w:val="24"/>
          <w:szCs w:val="24"/>
        </w:rPr>
        <w:t>Geografia e razão prática: diálogos multidisciplinares</w:t>
      </w:r>
      <w:r w:rsidRPr="000D7EBF">
        <w:rPr>
          <w:sz w:val="24"/>
          <w:szCs w:val="24"/>
        </w:rPr>
        <w:t>, propõe uma reflexão sobre uma Geografia relacionada à realidade concreta e aos sujeitos que vivem e produzem os territórios. Ao discutir a relação entre território, cidadão, prática política e gestão, a autora afirma que “as práticas políticas precisam falar com o cidadão ali onde ele vive” (S</w:t>
      </w:r>
      <w:r>
        <w:rPr>
          <w:sz w:val="24"/>
          <w:szCs w:val="24"/>
        </w:rPr>
        <w:t>ouza</w:t>
      </w:r>
      <w:r w:rsidRPr="000D7EBF">
        <w:rPr>
          <w:sz w:val="24"/>
          <w:szCs w:val="24"/>
        </w:rPr>
        <w:t xml:space="preserve">, 2025, p. 328-329). A afirmação contribui para pensar o território para além de uma delimitação administrativa, política ou funcional, reconhecendo que ele também é constituído pelas experiências cotidianas, pelas relações sociais, pelas memórias e pelos sentidos atribuídos pelos sujeitos aos lugares que ocupam. Essa perspectiva torna-se particularmente importante quando se analisam grupos cujas experiências culturais e religiosas não são necessariamente contempladas pelas representações </w:t>
      </w:r>
      <w:r w:rsidRPr="000D7EBF">
        <w:rPr>
          <w:sz w:val="24"/>
          <w:szCs w:val="24"/>
        </w:rPr>
        <w:lastRenderedPageBreak/>
        <w:t>hegemônicas do espaço.</w:t>
      </w:r>
      <w:r>
        <w:rPr>
          <w:sz w:val="24"/>
          <w:szCs w:val="24"/>
        </w:rPr>
        <w:t xml:space="preserve"> </w:t>
      </w:r>
      <w:r w:rsidRPr="000D7EBF">
        <w:rPr>
          <w:sz w:val="24"/>
          <w:szCs w:val="24"/>
        </w:rPr>
        <w:t>A partir dessa compreensão, o estudo aproxima Geografia, interculturalidade e decolonialidade. A perspectiva decolonial possibilita questionar as estruturas históricas que estabeleceram determinadas formas de conhecimento como universais e outras como inferiores, populares, supersticiosas ou sem legitimidade epistemológica. Quijano (2005, p. 117) relaciona a colonialidade do poder à modernidade e ao eurocentrismo, evidenciando que as classificações construídas no processo colonial permaneceram influenciando as relações sociais e as formas de produção e validação do conhecimento. A colonialidade, portanto, não se limita ao domínio político exercido pelas antigas metrópoles, mas permanece presente em estruturas que organizam relações de poder, identidades e saberes. Pensar em “outros saberes”, nesse contexto, significa problematizar as hierarquias epistemológicas e reconhecer a existência de múltiplas formas de interpretar, narrar e significar o mundo.</w:t>
      </w:r>
      <w:r>
        <w:rPr>
          <w:sz w:val="24"/>
          <w:szCs w:val="24"/>
        </w:rPr>
        <w:t xml:space="preserve"> </w:t>
      </w:r>
      <w:r w:rsidRPr="000D7EBF">
        <w:rPr>
          <w:sz w:val="24"/>
          <w:szCs w:val="24"/>
        </w:rPr>
        <w:t>A discussão sobre ancestralidade estabelece um diálogo importante com o escritor indígena Daniel Munduruku. Ao refletir sobre memória, tradição e continuidade, o autor afirma: “temos uma ancestralidade, um passado, uma tradição que precisa ser continuada, costurada, bricolada todo dia” (M</w:t>
      </w:r>
      <w:r>
        <w:rPr>
          <w:sz w:val="24"/>
          <w:szCs w:val="24"/>
        </w:rPr>
        <w:t>unduruku</w:t>
      </w:r>
      <w:r w:rsidRPr="000D7EBF">
        <w:rPr>
          <w:sz w:val="24"/>
          <w:szCs w:val="24"/>
        </w:rPr>
        <w:t>, 2009, p. 16). A contribuição de Munduruku é utilizada como referência para pensar a ancestralidade como dimensão relacionada à memória, à continuidade e à transmissão de saberes entre gerações. Entretanto, essa aproximação exige uma distinção conceitual fundamental. O Vale do Amanhecer não constitui uma comunidade indígena e não será apresentado como representante de qualquer povo indígena específico. O diálogo com o pensamento indígena busca estabelecer uma interlocução intercultural sobre o significado da ancestralidade e sobre a importância das narrativas na transmissão de conhecimentos, reconhecendo que essas dimensões assumem sentidos diferentes conforme os contextos culturais e históricos em que são produzidas.</w:t>
      </w:r>
      <w:r>
        <w:rPr>
          <w:sz w:val="24"/>
          <w:szCs w:val="24"/>
        </w:rPr>
        <w:t xml:space="preserve"> </w:t>
      </w:r>
      <w:r w:rsidRPr="000D7EBF">
        <w:rPr>
          <w:sz w:val="24"/>
          <w:szCs w:val="24"/>
        </w:rPr>
        <w:t>Essa distinção é essencial porque evita transformar referências indígenas presentes na cosmologia do Vale em uma suposta identidade indígena da comunidade. O que interessa investigar é como determinadas imagens, narrativas e personagens associados à ancestralidade são incorporados e ressignificados pela Doutrina do Amanhecer. No caso dos povos indígenas, ancestralidade, território, memória, comunidade e conhecimento estão vinculados a histórias e experiências próprias de cada povo. No Vale do Amanhecer, as narrativas de ancestralidade são produzidas no interior de uma experiência religiosa específica, cuja formação está relacionada à trajetória de Tia Neiva e à constituição da Doutrina. Assim, o trabalho não estabelece uma equivalência entre essas experiências, mas busca compreender os possíveis pontos de diálogo e, principalmente, as diferenças que precisam ser preservadas em uma abordagem intercultural.</w:t>
      </w:r>
      <w:r>
        <w:rPr>
          <w:sz w:val="24"/>
          <w:szCs w:val="24"/>
        </w:rPr>
        <w:t xml:space="preserve"> </w:t>
      </w:r>
      <w:r w:rsidRPr="000D7EBF">
        <w:rPr>
          <w:sz w:val="24"/>
          <w:szCs w:val="24"/>
        </w:rPr>
        <w:t xml:space="preserve">A documentação do Instituto do Patrimônio Histórico e Artístico Nacional constitui uma fonte importante para compreender a materialidade dessas narrativas. O </w:t>
      </w:r>
      <w:r w:rsidRPr="000D7EBF">
        <w:rPr>
          <w:i/>
          <w:iCs/>
          <w:sz w:val="24"/>
          <w:szCs w:val="24"/>
        </w:rPr>
        <w:t>Inventário Nacional de Referências Culturais do Vale do Amanhecer</w:t>
      </w:r>
      <w:r w:rsidRPr="000D7EBF">
        <w:rPr>
          <w:sz w:val="24"/>
          <w:szCs w:val="24"/>
        </w:rPr>
        <w:t xml:space="preserve"> registra, na descrição da Pirâmide, a presença de representações de Pai Seta Branca e Mãe Iara, além de Cavaleiros, Guias Missionários, Ministros, Caboclos e Pretos Velhos (PHAN, 2010, p. 143). A documentação permite observar que essas figuras não se restringem ao campo abstrato das crenças, pois estão inscritas na materialidade do espaço ritual e participam da composição da paisagem cultural do Vale. A espacialidade religiosa, portanto, também funciona como suporte de memória, comunicação e transmissão de narrativas, estabelecendo relações entre os elementos materiais, os rituais e os significados atribuídos pela comunidade.</w:t>
      </w:r>
    </w:p>
    <w:p w14:paraId="2D03D042" w14:textId="2D7AD98A" w:rsidR="000D7EBF" w:rsidRPr="000D7EBF" w:rsidRDefault="000D7EBF" w:rsidP="000D7EBF">
      <w:pPr>
        <w:spacing w:after="200" w:line="240" w:lineRule="auto"/>
        <w:jc w:val="both"/>
        <w:rPr>
          <w:sz w:val="24"/>
          <w:szCs w:val="24"/>
        </w:rPr>
      </w:pPr>
      <w:r w:rsidRPr="000D7EBF">
        <w:rPr>
          <w:sz w:val="24"/>
          <w:szCs w:val="24"/>
        </w:rPr>
        <w:lastRenderedPageBreak/>
        <w:t>Entre as figuras presentes nessa cosmologia, Pai Seta Branca ocupa posição de destaque. Na narrativa da Doutrina do Amanhecer, ele é apresentado como mentor espiritual de Tia Neiva e como uma das principais referências para a constituição da missão religiosa. As publicações vinculadas à Doutrina apresentam sua relação com Tia Neiva como elemento fundamental da trajetória espiritual que teria conduzido à formação do Vale. A obra atribuída a Tia Neiva também integra esse conjunto de fontes que permitem compreender a narrativa produzida no interior da própria comunidade. Metodologicamente, essas fontes não serão utilizadas como comprovação histórica das entidades ou dos acontecimentos narrados, mas como documentos que expressam uma determinada forma de memória, crença e interpretação do mundo. Essa diferenciação permite analisar a narrativa religiosa em sua dimensão cultural sem submetê-la a uma validação externa de caráter religioso.</w:t>
      </w:r>
      <w:r>
        <w:rPr>
          <w:sz w:val="24"/>
          <w:szCs w:val="24"/>
        </w:rPr>
        <w:t xml:space="preserve"> </w:t>
      </w:r>
      <w:r w:rsidRPr="000D7EBF">
        <w:rPr>
          <w:sz w:val="24"/>
          <w:szCs w:val="24"/>
        </w:rPr>
        <w:t>A figura de Pai Seta Branca permite ainda discutir a relação entre representação, identidade e ancestralidade. Sua imagem é construída no interior da Doutrina como uma figura associada ao imaginário indígena e ocupa lugar central na organização simbólica do Vale. Entretanto, não se pretende estabelecer correspondência direta entre Pai Seta Branca e um povo indígena historicamente identificado. O interesse da pesquisa está em compreender como essa representação foi construída e como ela é incorporada pelos adeptos à memória e à identidade religiosa. A mesma cautela será adotada na análise dos Caboclos e dos Cavaleiros. Essas figuras possuem trajetórias distintas na cultura religiosa brasileira e assumem significados próprios no sistema cosmológico do Vale, não devendo ser tomadas como representações transparentes ou equivalentes às tradições de grupos específicos.</w:t>
      </w:r>
      <w:r>
        <w:rPr>
          <w:sz w:val="24"/>
          <w:szCs w:val="24"/>
        </w:rPr>
        <w:t xml:space="preserve"> </w:t>
      </w:r>
      <w:r w:rsidRPr="000D7EBF">
        <w:rPr>
          <w:sz w:val="24"/>
          <w:szCs w:val="24"/>
        </w:rPr>
        <w:t>A presença dos Caboclos é particularmente relevante para a discussão sobre interculturalidade, uma vez que a figura do caboclo possui diferentes significados na formação cultural e religiosa brasileira. Em diferentes tradições, os caboclos podem estar relacionados a representações de ancestralidade, natureza, cura, espiritualidade e memória. No Vale do Amanhecer, contudo, essas figuras são reorganizadas dentro de uma cosmologia própria, juntamente com outras entidades e falanges. Os Cavaleiros também integram esse universo simbólico e ritual. O resultado é uma narrativa religiosa constituída pela aproximação e pela ressignificação de diferentes referências culturais. Investigar esse processo permite deslocar a análise de uma ideia simplificada de “mistura” para compreender os mecanismos de seleção, incorporação e reorganização de elementos culturais na construção de uma experiência religiosa específica.</w:t>
      </w:r>
      <w:r>
        <w:rPr>
          <w:sz w:val="24"/>
          <w:szCs w:val="24"/>
        </w:rPr>
        <w:t xml:space="preserve"> </w:t>
      </w:r>
      <w:r w:rsidRPr="000D7EBF">
        <w:rPr>
          <w:sz w:val="24"/>
          <w:szCs w:val="24"/>
        </w:rPr>
        <w:t>Nesse sentido, a interculturalidade constitui uma categoria fundamental para a análise. Walsh (2009, p. 12-13) propõe uma concepção crítica de interculturalidade que não se limita ao reconhecimento da diversidade ou à convivência entre culturas, mas considera as relações de poder e as estruturas históricas que produziram desigualdades entre grupos e conhecimentos. A interculturalidade crítica implica, portanto, questionar as condições em que diferentes sujeitos e saberes entram em relação. Aplicada ao Vale do Amanhecer, essa perspectiva permite investigar como diferentes referências culturais são articuladas na construção da Doutrina e como essas narrativas podem ser reconhecidas como elementos de uma experiência cultural particular, sem apagar as relações de poder presentes na história da formação social brasileira.</w:t>
      </w:r>
      <w:r>
        <w:rPr>
          <w:sz w:val="24"/>
          <w:szCs w:val="24"/>
        </w:rPr>
        <w:t xml:space="preserve"> </w:t>
      </w:r>
      <w:r w:rsidRPr="000D7EBF">
        <w:rPr>
          <w:sz w:val="24"/>
          <w:szCs w:val="24"/>
        </w:rPr>
        <w:t xml:space="preserve">A aproximação com a decolonialidade amplia essa reflexão. Se a colonialidade produz hierarquias entre sujeitos e conhecimentos, uma leitura decolonial pode contribuir para identificar as formas pelas quais determinados saberes são silenciados ou desvalorizados. No entanto, reconhecer “outros saberes” </w:t>
      </w:r>
      <w:r w:rsidRPr="000D7EBF">
        <w:rPr>
          <w:sz w:val="24"/>
          <w:szCs w:val="24"/>
        </w:rPr>
        <w:lastRenderedPageBreak/>
        <w:t>não significa colocar qualquer narrativa em oposição automática ao conhecimento científico, tampouco afirmar que todas as formas de conhecimento possuem o mesmo estatuto epistemológico. O objetivo é reconhecer que diferentes formas de saber existem, possuem contextos próprios de produção e podem ser analisadas enquanto fenômenos culturais, sociais e territoriais. Essa postura é particularmente importante diante das narrativas religiosas, pois permite estudá-las respeitando sua especificidade e evitando tanto a sua desqualificação quanto sua transformação indevida em conhecimento indígena ou científico.</w:t>
      </w:r>
      <w:r>
        <w:rPr>
          <w:sz w:val="24"/>
          <w:szCs w:val="24"/>
        </w:rPr>
        <w:t xml:space="preserve"> </w:t>
      </w:r>
      <w:r w:rsidRPr="000D7EBF">
        <w:rPr>
          <w:sz w:val="24"/>
          <w:szCs w:val="24"/>
        </w:rPr>
        <w:t>A reflexão de Souza (2025) contribui para recolocar essa discussão no campo da Geografia. Quando a autora destaca a necessidade de que as práticas políticas considerem o cidadão “ali onde ele vive” (S</w:t>
      </w:r>
      <w:r>
        <w:rPr>
          <w:sz w:val="24"/>
          <w:szCs w:val="24"/>
        </w:rPr>
        <w:t>ouza</w:t>
      </w:r>
      <w:r w:rsidRPr="000D7EBF">
        <w:rPr>
          <w:sz w:val="24"/>
          <w:szCs w:val="24"/>
        </w:rPr>
        <w:t>, 2025, p. 328-329), abre-se uma possibilidade para compreender o território a partir das experiências efetivamente produzidas pelos sujeitos. O Vale do Amanhecer, nesse sentido, não deve ser observado somente como uma área localizada em Planaltina-DF, mas como uma espacialidade marcada por práticas religiosas, memórias, símbolos, narrativas e relações sociais. A experiência dos adeptos atribui sentidos ao espaço e estabelece formas particulares de pertencimento, fazendo com que a dimensão cultural seja indispensável à sua interpretação geográfica.</w:t>
      </w:r>
      <w:r>
        <w:rPr>
          <w:sz w:val="24"/>
          <w:szCs w:val="24"/>
        </w:rPr>
        <w:t xml:space="preserve"> </w:t>
      </w:r>
      <w:r w:rsidRPr="000D7EBF">
        <w:rPr>
          <w:sz w:val="24"/>
          <w:szCs w:val="24"/>
        </w:rPr>
        <w:t>A pesquisa caracteriza-se como qualitativa e interpretativa, desenvolvida por meio de pesquisa bibliográfica e documental. O percurso investigativo articula obras relacionadas à Geografia, decolonialidade e interculturalidade; produções de autores indígenas, especialmente Daniel Munduruku; documentação institucional produzida pelo IPHAN; e fontes vinculadas à própria Doutrina do Amanhecer, incluindo produções associadas a Tia Neiva. A análise considera os diferentes lugares de enunciação das fontes, distinguindo a produção científica, a documentação patrimonial, a produção intelectual indígena e a narrativa religiosa. Essa opção metodológica procura construir uma interlocução entre diferentes perspectivas, sem transformar uma delas em medida universal para avaliar as demais.</w:t>
      </w:r>
      <w:r>
        <w:rPr>
          <w:sz w:val="24"/>
          <w:szCs w:val="24"/>
        </w:rPr>
        <w:t xml:space="preserve"> </w:t>
      </w:r>
      <w:r w:rsidRPr="000D7EBF">
        <w:rPr>
          <w:sz w:val="24"/>
          <w:szCs w:val="24"/>
        </w:rPr>
        <w:t xml:space="preserve">Como resultados preliminares, compreende-se que o Vale do Amanhecer apresenta uma espacialidade religiosa marcada pela circulação e pela ressignificação de diferentes referências culturais. Pai Seta Branca, Caboclos, Cavaleiros e outras figuras participam de uma cosmologia que orienta práticas, rituais, memórias e formas de pertencimento. A presença dessas referências na materialidade do espaço, registrada pelo IPHAN (2010, p. 143), evidencia que as narrativas também participam da constituição da paisagem cultural do Vale. O espaço religioso pode, assim, ser interpretado como lugar de memória e de transmissão de sentidos, no qual os elementos materiais e simbólicos se articulam na experiência cotidiana da comunidade.O diálogo com Munduruku permite ampliar a compreensão sobre ancestralidade, memória e continuidade dos saberes, mas também evidencia a necessidade de preservar as diferenças entre as experiências indígenas e a cosmologia do Vale. A interculturalidade, nesse caso, não consiste em aproximar indiscriminadamente culturas diferentes, mas em construir um diálogo que reconheça suas especificidades e os diferentes contextos históricos de produção de seus saberes. Essa postura é coerente com uma perspectiva decolonial, pois permite questionar tanto a invisibilização de conhecimentos historicamente subalternizados quanto as generalizações que acabam apagando a diversidade existente entre os próprios grupos culturais.Dessa forma, o estudo busca contribuir para uma Geografia atenta à pluralidade de experiências, narrativas e saberes que participam da produção dos espaços. O Vale do Amanhecer constitui um campo relevante para pensar </w:t>
      </w:r>
      <w:r w:rsidRPr="000D7EBF">
        <w:rPr>
          <w:sz w:val="24"/>
          <w:szCs w:val="24"/>
        </w:rPr>
        <w:lastRenderedPageBreak/>
        <w:t>ancestralidade, interculturalidade e outros saberes porque apresenta uma experiência religiosa na qual diferentes referências culturais são articuladas e ressignificadas em uma cosmologia própria. A pesquisa não pretende afirmar que o Vale seja uma experiência indígena, nem atribuir aos povos indígenas as representações construídas pela Doutrina. Busca, antes, compreender como a comunidade constrói suas próprias narrativas de ancestralidade e como essas narrativas participam da produção de sua espacialidade e identidade.</w:t>
      </w:r>
      <w:r>
        <w:rPr>
          <w:sz w:val="24"/>
          <w:szCs w:val="24"/>
        </w:rPr>
        <w:t xml:space="preserve"> </w:t>
      </w:r>
      <w:r w:rsidRPr="000D7EBF">
        <w:rPr>
          <w:sz w:val="24"/>
          <w:szCs w:val="24"/>
        </w:rPr>
        <w:t>Ao colocar em diálogo a Geografia de Maria Adélia de Souza, a reflexão indígena de Daniel Munduruku, a perspectiva intercultural de Walsh, a discussão sobre colonialidade de Quijano, a documentação patrimonial do IPHAN e as narrativas produzidas pela própria Doutrina do Amanhecer, pretende-se construir uma leitura interdisciplinar e intercultural do Vale. Essa articulação permite reconhecer que os espaços são também produzidos por memórias, símbolos e saberes, e que compreender essas dimensões pode ampliar a capacidade da Geografia de interpretar territórios culturalmente complexos. Assim, o reconhecimento das narrativas do Vale não representa apenas uma estratégia de inclusão temática, mas uma possibilidade de problematizar as formas pelas quais diferentes sujeitos constroem sentidos para o espaço, preservam memórias e produzem pertencimentos.</w:t>
      </w:r>
    </w:p>
    <w:p w14:paraId="06594A4C" w14:textId="77777777" w:rsidR="000D7EBF" w:rsidRPr="000D7EBF" w:rsidRDefault="000D7EBF" w:rsidP="000D7EBF">
      <w:pPr>
        <w:spacing w:after="200" w:line="240" w:lineRule="auto"/>
        <w:jc w:val="both"/>
        <w:rPr>
          <w:sz w:val="24"/>
          <w:szCs w:val="24"/>
        </w:rPr>
      </w:pPr>
      <w:r w:rsidRPr="000D7EBF">
        <w:rPr>
          <w:b/>
          <w:bCs/>
          <w:sz w:val="24"/>
          <w:szCs w:val="24"/>
        </w:rPr>
        <w:t>Palavras-chave:</w:t>
      </w:r>
      <w:r w:rsidRPr="000D7EBF">
        <w:rPr>
          <w:sz w:val="24"/>
          <w:szCs w:val="24"/>
        </w:rPr>
        <w:t xml:space="preserve"> Ancestralidade. Decolonialidade. Interculturalidade. Narrativas. Vale do Amanhecer.</w:t>
      </w:r>
    </w:p>
    <w:p w14:paraId="2A8402AD" w14:textId="77777777" w:rsidR="000D7EBF" w:rsidRPr="000D7EBF" w:rsidRDefault="000D7EBF" w:rsidP="000D7EBF">
      <w:pPr>
        <w:spacing w:after="200" w:line="240" w:lineRule="auto"/>
        <w:jc w:val="both"/>
        <w:rPr>
          <w:b/>
          <w:bCs/>
          <w:sz w:val="24"/>
          <w:szCs w:val="24"/>
        </w:rPr>
      </w:pPr>
      <w:r w:rsidRPr="000D7EBF">
        <w:rPr>
          <w:b/>
          <w:bCs/>
          <w:sz w:val="24"/>
          <w:szCs w:val="24"/>
        </w:rPr>
        <w:t>REFERÊNCIAS</w:t>
      </w:r>
    </w:p>
    <w:p w14:paraId="17C3044B" w14:textId="77777777" w:rsidR="00A93527" w:rsidRPr="00A93527" w:rsidRDefault="00A93527" w:rsidP="00A93527">
      <w:pPr>
        <w:spacing w:after="200" w:line="240" w:lineRule="auto"/>
        <w:jc w:val="both"/>
        <w:rPr>
          <w:sz w:val="24"/>
          <w:szCs w:val="24"/>
        </w:rPr>
      </w:pPr>
      <w:r w:rsidRPr="00A93527">
        <w:rPr>
          <w:sz w:val="24"/>
          <w:szCs w:val="24"/>
        </w:rPr>
        <w:t xml:space="preserve">MUNDURUKU, Daniel. </w:t>
      </w:r>
      <w:r w:rsidRPr="00A93527">
        <w:rPr>
          <w:i/>
          <w:iCs/>
          <w:sz w:val="24"/>
          <w:szCs w:val="24"/>
        </w:rPr>
        <w:t>O banquete dos deuses: conversa sobre a origem e a cultura brasileira</w:t>
      </w:r>
      <w:r w:rsidRPr="00A93527">
        <w:rPr>
          <w:sz w:val="24"/>
          <w:szCs w:val="24"/>
        </w:rPr>
        <w:t>. São Paulo: Global, 2009.</w:t>
      </w:r>
    </w:p>
    <w:p w14:paraId="2F888039" w14:textId="77777777" w:rsidR="00A93527" w:rsidRPr="00A93527" w:rsidRDefault="00A93527" w:rsidP="00A93527">
      <w:pPr>
        <w:spacing w:after="200" w:line="240" w:lineRule="auto"/>
        <w:jc w:val="both"/>
        <w:rPr>
          <w:sz w:val="24"/>
          <w:szCs w:val="24"/>
        </w:rPr>
      </w:pPr>
      <w:r w:rsidRPr="00A93527">
        <w:rPr>
          <w:sz w:val="24"/>
          <w:szCs w:val="24"/>
        </w:rPr>
        <w:t xml:space="preserve">NEIVA, Tia. </w:t>
      </w:r>
      <w:r w:rsidRPr="00A93527">
        <w:rPr>
          <w:i/>
          <w:iCs/>
          <w:sz w:val="24"/>
          <w:szCs w:val="24"/>
        </w:rPr>
        <w:t>Os símbolos da Doutrina do Amanhecer</w:t>
      </w:r>
      <w:r w:rsidRPr="00A93527">
        <w:rPr>
          <w:sz w:val="24"/>
          <w:szCs w:val="24"/>
        </w:rPr>
        <w:t>. Brasília, DF: [s. n.], 2009.</w:t>
      </w:r>
    </w:p>
    <w:p w14:paraId="22ABCF6B" w14:textId="77777777" w:rsidR="00A93527" w:rsidRPr="00A93527" w:rsidRDefault="00A93527" w:rsidP="00A93527">
      <w:pPr>
        <w:spacing w:after="200" w:line="240" w:lineRule="auto"/>
        <w:jc w:val="both"/>
        <w:rPr>
          <w:sz w:val="24"/>
          <w:szCs w:val="24"/>
        </w:rPr>
      </w:pPr>
      <w:r w:rsidRPr="00A93527">
        <w:rPr>
          <w:sz w:val="24"/>
          <w:szCs w:val="24"/>
        </w:rPr>
        <w:t xml:space="preserve">QUIJANO, Aníbal. Colonialidade do poder, eurocentrismo e América Latina. In: LANDER, Edgardo (org.). </w:t>
      </w:r>
      <w:r w:rsidRPr="00A93527">
        <w:rPr>
          <w:i/>
          <w:iCs/>
          <w:sz w:val="24"/>
          <w:szCs w:val="24"/>
        </w:rPr>
        <w:t>A colonialidade do saber: eurocentrismo e ciências sociais: perspectivas latino-americanas</w:t>
      </w:r>
      <w:r w:rsidRPr="00A93527">
        <w:rPr>
          <w:sz w:val="24"/>
          <w:szCs w:val="24"/>
        </w:rPr>
        <w:t>. Buenos Aires: CLACSO, 2005. p. 107-142.</w:t>
      </w:r>
    </w:p>
    <w:p w14:paraId="34410501" w14:textId="77777777" w:rsidR="00A93527" w:rsidRPr="00A93527" w:rsidRDefault="00A93527" w:rsidP="00A93527">
      <w:pPr>
        <w:spacing w:after="200" w:line="240" w:lineRule="auto"/>
        <w:jc w:val="both"/>
        <w:rPr>
          <w:sz w:val="24"/>
          <w:szCs w:val="24"/>
        </w:rPr>
      </w:pPr>
      <w:r w:rsidRPr="00A93527">
        <w:rPr>
          <w:sz w:val="24"/>
          <w:szCs w:val="24"/>
        </w:rPr>
        <w:t xml:space="preserve">SIQUEIRA, Deis; REIS, Marcelo; LEITE, Jairo Zelaya; RAMASSOTE, Rodrigo M. </w:t>
      </w:r>
      <w:r w:rsidRPr="00A93527">
        <w:rPr>
          <w:i/>
          <w:iCs/>
          <w:sz w:val="24"/>
          <w:szCs w:val="24"/>
        </w:rPr>
        <w:t>Vale do Amanhecer: inventário nacional de referências culturais</w:t>
      </w:r>
      <w:r w:rsidRPr="00A93527">
        <w:rPr>
          <w:sz w:val="24"/>
          <w:szCs w:val="24"/>
        </w:rPr>
        <w:t>. Brasília, DF: Superintendência do IPHAN no Distrito Federal, 2010.</w:t>
      </w:r>
    </w:p>
    <w:p w14:paraId="3D69B5A1" w14:textId="77777777" w:rsidR="00A93527" w:rsidRPr="00A93527" w:rsidRDefault="00A93527" w:rsidP="00A93527">
      <w:pPr>
        <w:spacing w:after="200" w:line="240" w:lineRule="auto"/>
        <w:jc w:val="both"/>
        <w:rPr>
          <w:sz w:val="24"/>
          <w:szCs w:val="24"/>
        </w:rPr>
      </w:pPr>
      <w:r w:rsidRPr="00A93527">
        <w:rPr>
          <w:sz w:val="24"/>
          <w:szCs w:val="24"/>
        </w:rPr>
        <w:t xml:space="preserve">SOUZA, Maria Adélia de. </w:t>
      </w:r>
      <w:r w:rsidRPr="00A93527">
        <w:rPr>
          <w:i/>
          <w:iCs/>
          <w:sz w:val="24"/>
          <w:szCs w:val="24"/>
        </w:rPr>
        <w:t>Geografia e razão prática: diálogos multidisciplinares</w:t>
      </w:r>
      <w:r w:rsidRPr="00A93527">
        <w:rPr>
          <w:sz w:val="24"/>
          <w:szCs w:val="24"/>
        </w:rPr>
        <w:t>. São Paulo: Edusp, 2025.</w:t>
      </w:r>
    </w:p>
    <w:p w14:paraId="1B69B928" w14:textId="77777777" w:rsidR="00A93527" w:rsidRPr="00A93527" w:rsidRDefault="00A93527" w:rsidP="00A93527">
      <w:pPr>
        <w:spacing w:after="200" w:line="240" w:lineRule="auto"/>
        <w:jc w:val="both"/>
        <w:rPr>
          <w:sz w:val="24"/>
          <w:szCs w:val="24"/>
        </w:rPr>
      </w:pPr>
      <w:r w:rsidRPr="00A93527">
        <w:rPr>
          <w:sz w:val="24"/>
          <w:szCs w:val="24"/>
        </w:rPr>
        <w:t xml:space="preserve">WALSH, Catherine. Interculturalidade crítica e pedagogia decolonial: in-surgir, re-existir e re-viver. In: CANDAU, Vera Maria (org.). </w:t>
      </w:r>
      <w:r w:rsidRPr="00A93527">
        <w:rPr>
          <w:i/>
          <w:iCs/>
          <w:sz w:val="24"/>
          <w:szCs w:val="24"/>
        </w:rPr>
        <w:t>Educação intercultural na América Latina: entre concepções, tensões e propostas</w:t>
      </w:r>
      <w:r w:rsidRPr="00A93527">
        <w:rPr>
          <w:sz w:val="24"/>
          <w:szCs w:val="24"/>
        </w:rPr>
        <w:t>. Rio de Janeiro: 7Letras, 2009. p. 12-42.</w:t>
      </w:r>
    </w:p>
    <w:p w14:paraId="3594099A" w14:textId="77777777" w:rsidR="007505CA" w:rsidRPr="000D7EBF" w:rsidRDefault="007505CA">
      <w:pPr>
        <w:spacing w:after="200" w:line="240" w:lineRule="auto"/>
        <w:jc w:val="both"/>
        <w:rPr>
          <w:sz w:val="24"/>
          <w:szCs w:val="24"/>
        </w:rPr>
      </w:pPr>
    </w:p>
    <w:sectPr w:rsidR="007505CA" w:rsidRPr="000D7EBF">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672A0" w14:textId="77777777" w:rsidR="002B6D8B" w:rsidRDefault="002B6D8B">
      <w:pPr>
        <w:spacing w:line="240" w:lineRule="auto"/>
      </w:pPr>
      <w:r>
        <w:separator/>
      </w:r>
    </w:p>
  </w:endnote>
  <w:endnote w:type="continuationSeparator" w:id="0">
    <w:p w14:paraId="45987493" w14:textId="77777777" w:rsidR="002B6D8B" w:rsidRDefault="002B6D8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62715D5-AF7E-475D-9CDA-D3760D60A6EF}"/>
  </w:font>
  <w:font w:name="Cambria">
    <w:panose1 w:val="02040503050406030204"/>
    <w:charset w:val="00"/>
    <w:family w:val="roman"/>
    <w:pitch w:val="variable"/>
    <w:sig w:usb0="E00006FF" w:usb1="420024FF" w:usb2="02000000" w:usb3="00000000" w:csb0="0000019F" w:csb1="00000000"/>
    <w:embedRegular r:id="rId2" w:fontKey="{8EF3241D-0EBA-47A7-A2B6-B9D2983F15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D1878" w14:textId="77777777" w:rsidR="007505CA" w:rsidRDefault="00000000">
    <w:pPr>
      <w:jc w:val="center"/>
    </w:pPr>
    <w:r>
      <w:fldChar w:fldCharType="begin"/>
    </w:r>
    <w:r>
      <w:instrText>PAGE</w:instrText>
    </w:r>
    <w:r>
      <w:fldChar w:fldCharType="separate"/>
    </w:r>
    <w:r w:rsidR="00FC4533">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FE194" w14:textId="77777777" w:rsidR="007505CA" w:rsidRDefault="007505C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E20E40" w14:textId="77777777" w:rsidR="002B6D8B" w:rsidRDefault="002B6D8B">
      <w:pPr>
        <w:spacing w:line="240" w:lineRule="auto"/>
      </w:pPr>
      <w:r>
        <w:separator/>
      </w:r>
    </w:p>
  </w:footnote>
  <w:footnote w:type="continuationSeparator" w:id="0">
    <w:p w14:paraId="47573D70" w14:textId="77777777" w:rsidR="002B6D8B" w:rsidRDefault="002B6D8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77A1F" w14:textId="77777777" w:rsidR="007505CA" w:rsidRDefault="00000000">
    <w:pPr>
      <w:jc w:val="right"/>
    </w:pPr>
    <w:r>
      <w:rPr>
        <w:noProof/>
      </w:rPr>
      <w:drawing>
        <wp:anchor distT="114300" distB="114300" distL="114300" distR="114300" simplePos="0" relativeHeight="251658240" behindDoc="1" locked="0" layoutInCell="1" hidden="0" allowOverlap="1" wp14:anchorId="6D50D490" wp14:editId="50F77DB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419DC000" wp14:editId="5BDB8B87">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14:paraId="1914BF58" w14:textId="77777777" w:rsidR="007505CA" w:rsidRDefault="007505CA">
    <w:pPr>
      <w:jc w:val="right"/>
    </w:pPr>
  </w:p>
  <w:p w14:paraId="4BFD62C4" w14:textId="77777777" w:rsidR="007505CA" w:rsidRDefault="007505CA">
    <w:pPr>
      <w:jc w:val="right"/>
    </w:pPr>
  </w:p>
  <w:p w14:paraId="52C2E433" w14:textId="77777777" w:rsidR="007505CA" w:rsidRDefault="00000000">
    <w:r>
      <w:rPr>
        <w:noProof/>
      </w:rPr>
      <w:drawing>
        <wp:anchor distT="114300" distB="114300" distL="114300" distR="114300" simplePos="0" relativeHeight="251660288" behindDoc="1" locked="0" layoutInCell="1" hidden="0" allowOverlap="1" wp14:anchorId="1084977B" wp14:editId="49B4109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0CAF40" w14:textId="77777777" w:rsidR="007505CA" w:rsidRDefault="007505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3C5B87"/>
    <w:multiLevelType w:val="multilevel"/>
    <w:tmpl w:val="2800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23287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05CA"/>
    <w:rsid w:val="000D7EBF"/>
    <w:rsid w:val="000E7151"/>
    <w:rsid w:val="002B6D8B"/>
    <w:rsid w:val="003748F9"/>
    <w:rsid w:val="007505CA"/>
    <w:rsid w:val="009369DE"/>
    <w:rsid w:val="00A93527"/>
    <w:rsid w:val="00B3468A"/>
    <w:rsid w:val="00D00542"/>
    <w:rsid w:val="00D750F3"/>
    <w:rsid w:val="00F14ADA"/>
    <w:rsid w:val="00FC453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959EB"/>
  <w15:docId w15:val="{7D162BBC-6DD7-4277-BED4-B0246EDC6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409571">
      <w:bodyDiv w:val="1"/>
      <w:marLeft w:val="0"/>
      <w:marRight w:val="0"/>
      <w:marTop w:val="0"/>
      <w:marBottom w:val="0"/>
      <w:divBdr>
        <w:top w:val="none" w:sz="0" w:space="0" w:color="auto"/>
        <w:left w:val="none" w:sz="0" w:space="0" w:color="auto"/>
        <w:bottom w:val="none" w:sz="0" w:space="0" w:color="auto"/>
        <w:right w:val="none" w:sz="0" w:space="0" w:color="auto"/>
      </w:divBdr>
    </w:div>
    <w:div w:id="163322214">
      <w:bodyDiv w:val="1"/>
      <w:marLeft w:val="0"/>
      <w:marRight w:val="0"/>
      <w:marTop w:val="0"/>
      <w:marBottom w:val="0"/>
      <w:divBdr>
        <w:top w:val="none" w:sz="0" w:space="0" w:color="auto"/>
        <w:left w:val="none" w:sz="0" w:space="0" w:color="auto"/>
        <w:bottom w:val="none" w:sz="0" w:space="0" w:color="auto"/>
        <w:right w:val="none" w:sz="0" w:space="0" w:color="auto"/>
      </w:divBdr>
    </w:div>
    <w:div w:id="302782554">
      <w:bodyDiv w:val="1"/>
      <w:marLeft w:val="0"/>
      <w:marRight w:val="0"/>
      <w:marTop w:val="0"/>
      <w:marBottom w:val="0"/>
      <w:divBdr>
        <w:top w:val="none" w:sz="0" w:space="0" w:color="auto"/>
        <w:left w:val="none" w:sz="0" w:space="0" w:color="auto"/>
        <w:bottom w:val="none" w:sz="0" w:space="0" w:color="auto"/>
        <w:right w:val="none" w:sz="0" w:space="0" w:color="auto"/>
      </w:divBdr>
      <w:divsChild>
        <w:div w:id="120611287">
          <w:marLeft w:val="0"/>
          <w:marRight w:val="0"/>
          <w:marTop w:val="0"/>
          <w:marBottom w:val="0"/>
          <w:divBdr>
            <w:top w:val="none" w:sz="0" w:space="0" w:color="auto"/>
            <w:left w:val="none" w:sz="0" w:space="0" w:color="auto"/>
            <w:bottom w:val="none" w:sz="0" w:space="0" w:color="auto"/>
            <w:right w:val="none" w:sz="0" w:space="0" w:color="auto"/>
          </w:divBdr>
          <w:divsChild>
            <w:div w:id="855467128">
              <w:marLeft w:val="0"/>
              <w:marRight w:val="0"/>
              <w:marTop w:val="0"/>
              <w:marBottom w:val="0"/>
              <w:divBdr>
                <w:top w:val="none" w:sz="0" w:space="0" w:color="auto"/>
                <w:left w:val="none" w:sz="0" w:space="0" w:color="auto"/>
                <w:bottom w:val="none" w:sz="0" w:space="0" w:color="auto"/>
                <w:right w:val="none" w:sz="0" w:space="0" w:color="auto"/>
              </w:divBdr>
              <w:divsChild>
                <w:div w:id="1501041500">
                  <w:marLeft w:val="0"/>
                  <w:marRight w:val="0"/>
                  <w:marTop w:val="0"/>
                  <w:marBottom w:val="0"/>
                  <w:divBdr>
                    <w:top w:val="none" w:sz="0" w:space="0" w:color="auto"/>
                    <w:left w:val="none" w:sz="0" w:space="0" w:color="auto"/>
                    <w:bottom w:val="none" w:sz="0" w:space="0" w:color="auto"/>
                    <w:right w:val="none" w:sz="0" w:space="0" w:color="auto"/>
                  </w:divBdr>
                  <w:divsChild>
                    <w:div w:id="864365390">
                      <w:marLeft w:val="0"/>
                      <w:marRight w:val="0"/>
                      <w:marTop w:val="0"/>
                      <w:marBottom w:val="0"/>
                      <w:divBdr>
                        <w:top w:val="none" w:sz="0" w:space="0" w:color="auto"/>
                        <w:left w:val="none" w:sz="0" w:space="0" w:color="auto"/>
                        <w:bottom w:val="none" w:sz="0" w:space="0" w:color="auto"/>
                        <w:right w:val="none" w:sz="0" w:space="0" w:color="auto"/>
                      </w:divBdr>
                      <w:divsChild>
                        <w:div w:id="2058701604">
                          <w:marLeft w:val="0"/>
                          <w:marRight w:val="0"/>
                          <w:marTop w:val="0"/>
                          <w:marBottom w:val="0"/>
                          <w:divBdr>
                            <w:top w:val="none" w:sz="0" w:space="0" w:color="auto"/>
                            <w:left w:val="none" w:sz="0" w:space="0" w:color="auto"/>
                            <w:bottom w:val="none" w:sz="0" w:space="0" w:color="auto"/>
                            <w:right w:val="none" w:sz="0" w:space="0" w:color="auto"/>
                          </w:divBdr>
                          <w:divsChild>
                            <w:div w:id="126484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933950">
      <w:bodyDiv w:val="1"/>
      <w:marLeft w:val="0"/>
      <w:marRight w:val="0"/>
      <w:marTop w:val="0"/>
      <w:marBottom w:val="0"/>
      <w:divBdr>
        <w:top w:val="none" w:sz="0" w:space="0" w:color="auto"/>
        <w:left w:val="none" w:sz="0" w:space="0" w:color="auto"/>
        <w:bottom w:val="none" w:sz="0" w:space="0" w:color="auto"/>
        <w:right w:val="none" w:sz="0" w:space="0" w:color="auto"/>
      </w:divBdr>
    </w:div>
    <w:div w:id="799568002">
      <w:bodyDiv w:val="1"/>
      <w:marLeft w:val="0"/>
      <w:marRight w:val="0"/>
      <w:marTop w:val="0"/>
      <w:marBottom w:val="0"/>
      <w:divBdr>
        <w:top w:val="none" w:sz="0" w:space="0" w:color="auto"/>
        <w:left w:val="none" w:sz="0" w:space="0" w:color="auto"/>
        <w:bottom w:val="none" w:sz="0" w:space="0" w:color="auto"/>
        <w:right w:val="none" w:sz="0" w:space="0" w:color="auto"/>
      </w:divBdr>
    </w:div>
    <w:div w:id="820659032">
      <w:bodyDiv w:val="1"/>
      <w:marLeft w:val="0"/>
      <w:marRight w:val="0"/>
      <w:marTop w:val="0"/>
      <w:marBottom w:val="0"/>
      <w:divBdr>
        <w:top w:val="none" w:sz="0" w:space="0" w:color="auto"/>
        <w:left w:val="none" w:sz="0" w:space="0" w:color="auto"/>
        <w:bottom w:val="none" w:sz="0" w:space="0" w:color="auto"/>
        <w:right w:val="none" w:sz="0" w:space="0" w:color="auto"/>
      </w:divBdr>
    </w:div>
    <w:div w:id="873465908">
      <w:bodyDiv w:val="1"/>
      <w:marLeft w:val="0"/>
      <w:marRight w:val="0"/>
      <w:marTop w:val="0"/>
      <w:marBottom w:val="0"/>
      <w:divBdr>
        <w:top w:val="none" w:sz="0" w:space="0" w:color="auto"/>
        <w:left w:val="none" w:sz="0" w:space="0" w:color="auto"/>
        <w:bottom w:val="none" w:sz="0" w:space="0" w:color="auto"/>
        <w:right w:val="none" w:sz="0" w:space="0" w:color="auto"/>
      </w:divBdr>
    </w:div>
    <w:div w:id="1370912026">
      <w:bodyDiv w:val="1"/>
      <w:marLeft w:val="0"/>
      <w:marRight w:val="0"/>
      <w:marTop w:val="0"/>
      <w:marBottom w:val="0"/>
      <w:divBdr>
        <w:top w:val="none" w:sz="0" w:space="0" w:color="auto"/>
        <w:left w:val="none" w:sz="0" w:space="0" w:color="auto"/>
        <w:bottom w:val="none" w:sz="0" w:space="0" w:color="auto"/>
        <w:right w:val="none" w:sz="0" w:space="0" w:color="auto"/>
      </w:divBdr>
      <w:divsChild>
        <w:div w:id="1337616573">
          <w:marLeft w:val="0"/>
          <w:marRight w:val="0"/>
          <w:marTop w:val="0"/>
          <w:marBottom w:val="0"/>
          <w:divBdr>
            <w:top w:val="none" w:sz="0" w:space="0" w:color="auto"/>
            <w:left w:val="none" w:sz="0" w:space="0" w:color="auto"/>
            <w:bottom w:val="none" w:sz="0" w:space="0" w:color="auto"/>
            <w:right w:val="none" w:sz="0" w:space="0" w:color="auto"/>
          </w:divBdr>
          <w:divsChild>
            <w:div w:id="1017657630">
              <w:marLeft w:val="0"/>
              <w:marRight w:val="0"/>
              <w:marTop w:val="0"/>
              <w:marBottom w:val="0"/>
              <w:divBdr>
                <w:top w:val="none" w:sz="0" w:space="0" w:color="auto"/>
                <w:left w:val="none" w:sz="0" w:space="0" w:color="auto"/>
                <w:bottom w:val="none" w:sz="0" w:space="0" w:color="auto"/>
                <w:right w:val="none" w:sz="0" w:space="0" w:color="auto"/>
              </w:divBdr>
              <w:divsChild>
                <w:div w:id="1876844025">
                  <w:marLeft w:val="0"/>
                  <w:marRight w:val="0"/>
                  <w:marTop w:val="0"/>
                  <w:marBottom w:val="0"/>
                  <w:divBdr>
                    <w:top w:val="none" w:sz="0" w:space="0" w:color="auto"/>
                    <w:left w:val="none" w:sz="0" w:space="0" w:color="auto"/>
                    <w:bottom w:val="none" w:sz="0" w:space="0" w:color="auto"/>
                    <w:right w:val="none" w:sz="0" w:space="0" w:color="auto"/>
                  </w:divBdr>
                  <w:divsChild>
                    <w:div w:id="1229848772">
                      <w:marLeft w:val="0"/>
                      <w:marRight w:val="0"/>
                      <w:marTop w:val="0"/>
                      <w:marBottom w:val="0"/>
                      <w:divBdr>
                        <w:top w:val="none" w:sz="0" w:space="0" w:color="auto"/>
                        <w:left w:val="none" w:sz="0" w:space="0" w:color="auto"/>
                        <w:bottom w:val="none" w:sz="0" w:space="0" w:color="auto"/>
                        <w:right w:val="none" w:sz="0" w:space="0" w:color="auto"/>
                      </w:divBdr>
                      <w:divsChild>
                        <w:div w:id="797996662">
                          <w:marLeft w:val="0"/>
                          <w:marRight w:val="0"/>
                          <w:marTop w:val="0"/>
                          <w:marBottom w:val="0"/>
                          <w:divBdr>
                            <w:top w:val="none" w:sz="0" w:space="0" w:color="auto"/>
                            <w:left w:val="none" w:sz="0" w:space="0" w:color="auto"/>
                            <w:bottom w:val="none" w:sz="0" w:space="0" w:color="auto"/>
                            <w:right w:val="none" w:sz="0" w:space="0" w:color="auto"/>
                          </w:divBdr>
                          <w:divsChild>
                            <w:div w:id="94661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1284431">
      <w:bodyDiv w:val="1"/>
      <w:marLeft w:val="0"/>
      <w:marRight w:val="0"/>
      <w:marTop w:val="0"/>
      <w:marBottom w:val="0"/>
      <w:divBdr>
        <w:top w:val="none" w:sz="0" w:space="0" w:color="auto"/>
        <w:left w:val="none" w:sz="0" w:space="0" w:color="auto"/>
        <w:bottom w:val="none" w:sz="0" w:space="0" w:color="auto"/>
        <w:right w:val="none" w:sz="0" w:space="0" w:color="auto"/>
      </w:divBdr>
    </w:div>
    <w:div w:id="19930934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2286</Words>
  <Characters>14565</Characters>
  <Application>Microsoft Office Word</Application>
  <DocSecurity>0</DocSecurity>
  <Lines>251</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Rejane Sousa</dc:creator>
  <cp:lastModifiedBy>Rejane Sousa</cp:lastModifiedBy>
  <cp:revision>2</cp:revision>
  <dcterms:created xsi:type="dcterms:W3CDTF">2026-08-16T20:28:00Z</dcterms:created>
  <dcterms:modified xsi:type="dcterms:W3CDTF">2026-08-16T20:28:00Z</dcterms:modified>
</cp:coreProperties>
</file>