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B19B3" w14:textId="77777777" w:rsidR="0024498D" w:rsidRDefault="00BD5FD2">
      <w:pPr>
        <w:keepLines/>
        <w:widowControl w:val="0"/>
        <w:spacing w:line="240" w:lineRule="auto"/>
        <w:jc w:val="center"/>
        <w:rPr>
          <w:b/>
          <w:bCs/>
          <w:sz w:val="24"/>
          <w:szCs w:val="24"/>
        </w:rPr>
      </w:pPr>
      <w:r>
        <w:rPr>
          <w:b/>
          <w:bCs/>
          <w:sz w:val="24"/>
          <w:szCs w:val="24"/>
        </w:rPr>
        <w:t xml:space="preserve">CONVERSATÓRIO 6 - DECOLONIZAR AS INFÂNCIAS: AS VOZES DAS CRIANÇAS COMO PERSPECTIVAS OUTRAS </w:t>
      </w:r>
    </w:p>
    <w:p w14:paraId="1795A1E0" w14:textId="77777777" w:rsidR="0024498D" w:rsidRDefault="0024498D">
      <w:pPr>
        <w:keepLines/>
        <w:widowControl w:val="0"/>
        <w:spacing w:line="240" w:lineRule="auto"/>
        <w:rPr>
          <w:b/>
          <w:bCs/>
          <w:sz w:val="24"/>
          <w:szCs w:val="24"/>
        </w:rPr>
      </w:pPr>
    </w:p>
    <w:p w14:paraId="626FCA8A" w14:textId="77777777" w:rsidR="0024498D" w:rsidRDefault="0024498D">
      <w:pPr>
        <w:keepLines/>
        <w:widowControl w:val="0"/>
        <w:spacing w:line="240" w:lineRule="auto"/>
        <w:rPr>
          <w:b/>
          <w:bCs/>
          <w:sz w:val="24"/>
          <w:szCs w:val="24"/>
        </w:rPr>
      </w:pPr>
    </w:p>
    <w:p w14:paraId="75BA0ADD" w14:textId="77777777" w:rsidR="0024498D" w:rsidRDefault="00BD5FD2">
      <w:pPr>
        <w:keepLines/>
        <w:widowControl w:val="0"/>
        <w:spacing w:line="240" w:lineRule="auto"/>
        <w:jc w:val="center"/>
        <w:rPr>
          <w:sz w:val="24"/>
          <w:szCs w:val="24"/>
        </w:rPr>
      </w:pPr>
      <w:bookmarkStart w:id="0" w:name="OLE_LINK13"/>
      <w:r>
        <w:rPr>
          <w:b/>
          <w:bCs/>
          <w:sz w:val="24"/>
          <w:szCs w:val="24"/>
        </w:rPr>
        <w:t xml:space="preserve"> “LÁ PRECISA DE UMA RAMPA PARA CADEIRANTE”:</w:t>
      </w:r>
      <w:r>
        <w:rPr>
          <w:rFonts w:ascii="Times New Roman" w:eastAsia="Times New Roman" w:hAnsi="Times New Roman" w:cs="Times New Roman"/>
          <w:b/>
          <w:bCs/>
          <w:sz w:val="24"/>
          <w:szCs w:val="24"/>
        </w:rPr>
        <w:t xml:space="preserve"> </w:t>
      </w:r>
      <w:r>
        <w:rPr>
          <w:b/>
          <w:bCs/>
          <w:sz w:val="24"/>
          <w:szCs w:val="24"/>
        </w:rPr>
        <w:t>A PARTICIPAÇÃO DAS CRIANÇAS NA CONSTRUÇÃO DE POLÍTICAS PÚBLICAS</w:t>
      </w:r>
    </w:p>
    <w:bookmarkEnd w:id="0"/>
    <w:p w14:paraId="7D3FAE5A" w14:textId="77777777" w:rsidR="0024498D" w:rsidRDefault="0024498D">
      <w:pPr>
        <w:keepLines/>
        <w:widowControl w:val="0"/>
        <w:spacing w:line="240" w:lineRule="auto"/>
        <w:jc w:val="right"/>
        <w:rPr>
          <w:sz w:val="24"/>
          <w:szCs w:val="24"/>
        </w:rPr>
      </w:pPr>
    </w:p>
    <w:p w14:paraId="0F10AC75" w14:textId="77777777" w:rsidR="0024498D" w:rsidRDefault="00BD5FD2">
      <w:pPr>
        <w:keepLines/>
        <w:widowControl w:val="0"/>
        <w:spacing w:line="240" w:lineRule="auto"/>
        <w:jc w:val="right"/>
        <w:rPr>
          <w:sz w:val="24"/>
          <w:szCs w:val="24"/>
        </w:rPr>
      </w:pPr>
      <w:r>
        <w:rPr>
          <w:sz w:val="24"/>
          <w:szCs w:val="24"/>
        </w:rPr>
        <w:t>Angela Scalabrin Coutinho, UFPR, angelacoutinho@ufpr.br</w:t>
      </w:r>
    </w:p>
    <w:p w14:paraId="0DB4BE6D" w14:textId="77777777" w:rsidR="0024498D" w:rsidRDefault="00BD5FD2">
      <w:pPr>
        <w:keepLines/>
        <w:widowControl w:val="0"/>
        <w:spacing w:line="240" w:lineRule="auto"/>
        <w:jc w:val="right"/>
        <w:rPr>
          <w:sz w:val="24"/>
          <w:szCs w:val="24"/>
          <w:highlight w:val="yellow"/>
        </w:rPr>
      </w:pPr>
      <w:r>
        <w:rPr>
          <w:sz w:val="24"/>
          <w:szCs w:val="24"/>
        </w:rPr>
        <w:t xml:space="preserve">Débora Reis </w:t>
      </w:r>
      <w:proofErr w:type="spellStart"/>
      <w:r>
        <w:rPr>
          <w:sz w:val="24"/>
          <w:szCs w:val="24"/>
        </w:rPr>
        <w:t>Schnekemberg</w:t>
      </w:r>
      <w:proofErr w:type="spellEnd"/>
      <w:r>
        <w:rPr>
          <w:sz w:val="24"/>
          <w:szCs w:val="24"/>
        </w:rPr>
        <w:t>, UFPR, debschnekemberg@gmail.com</w:t>
      </w:r>
    </w:p>
    <w:p w14:paraId="69FA1EBB" w14:textId="3B00F35F" w:rsidR="0024498D" w:rsidRDefault="00BD5FD2">
      <w:pPr>
        <w:keepLines/>
        <w:widowControl w:val="0"/>
        <w:spacing w:line="240" w:lineRule="auto"/>
        <w:jc w:val="right"/>
        <w:rPr>
          <w:sz w:val="24"/>
          <w:szCs w:val="24"/>
        </w:rPr>
      </w:pPr>
      <w:r>
        <w:rPr>
          <w:sz w:val="24"/>
          <w:szCs w:val="24"/>
        </w:rPr>
        <w:t xml:space="preserve">Vanessa Medianeira da Silva </w:t>
      </w:r>
      <w:proofErr w:type="spellStart"/>
      <w:r>
        <w:rPr>
          <w:sz w:val="24"/>
          <w:szCs w:val="24"/>
        </w:rPr>
        <w:t>Flôres</w:t>
      </w:r>
      <w:proofErr w:type="spellEnd"/>
      <w:r>
        <w:rPr>
          <w:sz w:val="24"/>
          <w:szCs w:val="24"/>
        </w:rPr>
        <w:t>,</w:t>
      </w:r>
      <w:r w:rsidR="00F6297D">
        <w:rPr>
          <w:sz w:val="24"/>
          <w:szCs w:val="24"/>
        </w:rPr>
        <w:t xml:space="preserve"> </w:t>
      </w:r>
      <w:r>
        <w:rPr>
          <w:sz w:val="24"/>
          <w:szCs w:val="24"/>
        </w:rPr>
        <w:t>UFPR, vanessaf.educ@gmail.com</w:t>
      </w:r>
    </w:p>
    <w:p w14:paraId="3B79E28C" w14:textId="77777777" w:rsidR="0024498D" w:rsidRDefault="0024498D">
      <w:pPr>
        <w:keepLines/>
        <w:widowControl w:val="0"/>
        <w:spacing w:line="240" w:lineRule="auto"/>
        <w:rPr>
          <w:sz w:val="24"/>
          <w:szCs w:val="24"/>
        </w:rPr>
      </w:pPr>
    </w:p>
    <w:p w14:paraId="4DF4DCF1" w14:textId="77777777" w:rsidR="0024498D" w:rsidRDefault="00BD5FD2">
      <w:pPr>
        <w:keepLines/>
        <w:widowControl w:val="0"/>
        <w:spacing w:line="360" w:lineRule="auto"/>
        <w:rPr>
          <w:b/>
          <w:bCs/>
          <w:sz w:val="24"/>
          <w:szCs w:val="24"/>
        </w:rPr>
      </w:pPr>
      <w:r>
        <w:rPr>
          <w:b/>
          <w:bCs/>
          <w:sz w:val="24"/>
          <w:szCs w:val="24"/>
        </w:rPr>
        <w:t>RESUMO</w:t>
      </w:r>
    </w:p>
    <w:p w14:paraId="45CCD959" w14:textId="7B5E6C4A" w:rsidR="0024498D" w:rsidRDefault="00BD5FD2">
      <w:pPr>
        <w:spacing w:line="360" w:lineRule="auto"/>
        <w:jc w:val="both"/>
        <w:rPr>
          <w:sz w:val="24"/>
          <w:szCs w:val="24"/>
          <w:highlight w:val="yellow"/>
        </w:rPr>
      </w:pPr>
      <w:r>
        <w:rPr>
          <w:sz w:val="24"/>
          <w:szCs w:val="24"/>
        </w:rPr>
        <w:t xml:space="preserve">O trabalho visa abordar a participação das crianças na avaliação e revisão do Plano Decenal Nacional dos Direitos Humanos de Crianças e Adolescentes (PDNDHCA, 2026-2036), a partir dos dados provenientes do estado do Paraná. Por ser uma política de Estado, sua formulação implica um amplo processo participativo, proposto a partir da parceria entre Universidade Federal Rural de Pernambuco (UFRPE), o Ministério dos Direitos Humanos e Cidadania (MDHC) e no estado do Paraná com a Universidade Federal do Paraná (UFPR). O processo de avaliação e revisão do PDNDHCA esteve assentado na contribuição de agentes sociais, instituições e organizações da sociedade civil de todos os estados brasileiros e do Distrito Federal. A abordagem metodológica utilizada foi </w:t>
      </w:r>
      <w:proofErr w:type="spellStart"/>
      <w:r>
        <w:rPr>
          <w:sz w:val="24"/>
          <w:szCs w:val="24"/>
        </w:rPr>
        <w:t>quali</w:t>
      </w:r>
      <w:proofErr w:type="spellEnd"/>
      <w:r>
        <w:rPr>
          <w:sz w:val="24"/>
          <w:szCs w:val="24"/>
        </w:rPr>
        <w:t xml:space="preserve">-quanti, entendidas como perspectivas que têm especificidades, mas se complementam. Neste resumo, optamos por apresentar um recorte da dimensão qualitativa. A realização das escutas com as crianças foi planejada considerando o contexto local, a idade, os seus pertencimentos e uma visão de criança potente, que tem percepções sobre as sociedades e as relações que nelas ocorrem. Debatemos sobre as metodologias apropriadas para realizar este processo, tendo em vista a participação efetiva das crianças. Refletimos que partir de histórias infantis e de imagens de locais do cotidiano das crianças seriam estratégias interessantes para dinamizar as escutas. Aqui apresentamos as escutas no Centro Municipal de Educação Infantil, com 17 crianças, 8 meninas e 9 meninos, de 4 e 5 anos de idade, do município de São José dos Pinhais, área urbana, e na Escola de Ensino Fundamental, com 18 crianças, 9 meninas e 9 meninos, entre 08 e 09 anos de idade, do município de Piraquara, área rural. Considerando a idade das crianças, optamos por organizar uma metodologia que promovesse a sua participação de variadas formas, iniciando com a </w:t>
      </w:r>
      <w:proofErr w:type="spellStart"/>
      <w:r>
        <w:rPr>
          <w:sz w:val="24"/>
          <w:szCs w:val="24"/>
        </w:rPr>
        <w:t>contação</w:t>
      </w:r>
      <w:proofErr w:type="spellEnd"/>
      <w:r>
        <w:rPr>
          <w:sz w:val="24"/>
          <w:szCs w:val="24"/>
        </w:rPr>
        <w:t xml:space="preserve"> de histórias que provocavam a reflexão </w:t>
      </w:r>
      <w:r>
        <w:rPr>
          <w:sz w:val="24"/>
          <w:szCs w:val="24"/>
        </w:rPr>
        <w:lastRenderedPageBreak/>
        <w:t xml:space="preserve">sobre a diversidade, as diferenças, as desigualdades e os direitos das crianças. Na primeira escuta contamos a história “Quem disse”, de autoria de Caroline </w:t>
      </w:r>
      <w:proofErr w:type="spellStart"/>
      <w:r>
        <w:rPr>
          <w:sz w:val="24"/>
          <w:szCs w:val="24"/>
        </w:rPr>
        <w:t>Arcali</w:t>
      </w:r>
      <w:proofErr w:type="spellEnd"/>
      <w:r>
        <w:rPr>
          <w:sz w:val="24"/>
          <w:szCs w:val="24"/>
        </w:rPr>
        <w:t xml:space="preserve"> que trata de questões de gênero, e na segunda escuta contamos a história “Mãos”, de </w:t>
      </w:r>
      <w:proofErr w:type="spellStart"/>
      <w:r>
        <w:rPr>
          <w:sz w:val="24"/>
          <w:szCs w:val="24"/>
        </w:rPr>
        <w:t>Kiusam</w:t>
      </w:r>
      <w:proofErr w:type="spellEnd"/>
      <w:r>
        <w:rPr>
          <w:sz w:val="24"/>
          <w:szCs w:val="24"/>
        </w:rPr>
        <w:t xml:space="preserve"> de Oliveira, que trata de questões étnico-raciais. Após a </w:t>
      </w:r>
      <w:proofErr w:type="spellStart"/>
      <w:r>
        <w:rPr>
          <w:sz w:val="24"/>
          <w:szCs w:val="24"/>
        </w:rPr>
        <w:t>contação</w:t>
      </w:r>
      <w:proofErr w:type="spellEnd"/>
      <w:r>
        <w:rPr>
          <w:sz w:val="24"/>
          <w:szCs w:val="24"/>
        </w:rPr>
        <w:t>, iniciamos um diálogo com as crianças sobre elementos que aparecem nas histórias, essa dinâmica tinha por objetivo tanto provocar a reflexão das crianças sobre temas relacionados aos seus direitos, como de estabelecer algum vínculo entre as pesquisadoras e elas, tendo em vista que era a primeira vez que estávamos em contato. Em ambas as escutas as crianças se mostraram participativas e críticas quanto aos temas discutidos, trazendo exemplos de preconceitos, situações de discriminação e sugerindo formas de superá-los. Após esse diálogo inicial, partimos para a discussão de questões sobre os direitos das crianças mais focalizadas nos seus espaços sociais, como educação, saúde, assistência, espaços públicos, entre outros. Para tal, utilizamos imagens da cidade, do bairro, da escola, da Unidade de Saúde e pedíamos para que elas nos dissessem se conheciam aqueles lugares e elas já começavam a falar sobre eles, mesmo aquelas que inicialmente não reconheciam, ao ouviram as manifestações de suas/seus colegas, apresentavam sua percepção sobre esses espaços/serviços. As narrativas das crianças foram registradas pelas pesquisadoras em diário de campo, em áudios e elas próprias registraram em desenhos, em ambos os grupos, e em palavras e frases, no caso do segundo grupo. Suas narrativas são bastante significativas e revelam o seu senso crítico, apresentando aspectos negativos, positivos e propositivos. As crianças são potentes e têm muito a nos dizer sobre seus direitos e seus anseios.</w:t>
      </w:r>
      <w:r>
        <w:rPr>
          <w:rFonts w:ascii="Times New Roman" w:eastAsia="Times New Roman" w:hAnsi="Times New Roman" w:cs="Times New Roman"/>
          <w:sz w:val="20"/>
          <w:szCs w:val="20"/>
        </w:rPr>
        <w:t xml:space="preserve"> </w:t>
      </w:r>
      <w:r>
        <w:rPr>
          <w:sz w:val="24"/>
          <w:szCs w:val="24"/>
        </w:rPr>
        <w:t>Elas demonstraram ter muitas questões importantes para pontuar, uma questão que chamou a atenção foi referente aos espaços de saúde, as crianças relataram que nos espaços que conhecem não existem locais de espera apropriados para crianças, desde bebês, bem como para as crianças autistas que precisam de local calmo para ficar. Ainda abordaram a falta de acessibilidade, como rampas e barras. Ao cotejar esse dado com a pesquisa realizada pelo IBGE sobre a “Atenção primária à saúde de crianças de 0 a 13 anos” (2022), percebe-se que não apenas as famílias têm uma apreciação sobre os serviços de saúde, mas também as crianças, que apresentam novos elementos que podem ser agregados ao que fo</w:t>
      </w:r>
      <w:r w:rsidR="00D87785">
        <w:rPr>
          <w:sz w:val="24"/>
          <w:szCs w:val="24"/>
        </w:rPr>
        <w:t>i</w:t>
      </w:r>
      <w:r>
        <w:rPr>
          <w:sz w:val="24"/>
          <w:szCs w:val="24"/>
        </w:rPr>
        <w:t xml:space="preserve"> apontado pelas/os familiares. No que </w:t>
      </w:r>
      <w:r>
        <w:rPr>
          <w:sz w:val="24"/>
          <w:szCs w:val="24"/>
        </w:rPr>
        <w:lastRenderedPageBreak/>
        <w:t xml:space="preserve">diz respeito à educação, uma das questões elencadas foi sobre os espaços para brincar e </w:t>
      </w:r>
      <w:r w:rsidR="00D87785">
        <w:rPr>
          <w:sz w:val="24"/>
          <w:szCs w:val="24"/>
        </w:rPr>
        <w:t>para</w:t>
      </w:r>
      <w:r>
        <w:rPr>
          <w:sz w:val="24"/>
          <w:szCs w:val="24"/>
        </w:rPr>
        <w:t xml:space="preserve"> atividades esportivas</w:t>
      </w:r>
      <w:r w:rsidR="00D87785">
        <w:rPr>
          <w:sz w:val="24"/>
          <w:szCs w:val="24"/>
        </w:rPr>
        <w:t>.</w:t>
      </w:r>
      <w:r>
        <w:rPr>
          <w:sz w:val="24"/>
          <w:szCs w:val="24"/>
        </w:rPr>
        <w:t xml:space="preserve"> </w:t>
      </w:r>
      <w:r w:rsidR="00D87785">
        <w:rPr>
          <w:sz w:val="24"/>
          <w:szCs w:val="24"/>
        </w:rPr>
        <w:t>P</w:t>
      </w:r>
      <w:r>
        <w:rPr>
          <w:sz w:val="24"/>
          <w:szCs w:val="24"/>
        </w:rPr>
        <w:t>rincipalmente as crianças de 8 e 9 anos relataram a precariedade da quadra esportiva da instituição e salientaram a falta de segurança na escola, pois apresentava fácil acesso a pessoas desconhecidas. Também este dado dialoga com as informações que acessamos sobre políticas e programas que focalizem as crianças e adolescentes no esporte, tendo em vista que não identificamos políticas permanentes que articulem educação e esporte, dois setores que sugerem uma relação intrínseca, mas que não se efetiva no âmbito da formulação e implementação de políticas para esses grupos geracionais.</w:t>
      </w:r>
      <w:r w:rsidR="00D87785">
        <w:rPr>
          <w:sz w:val="24"/>
          <w:szCs w:val="24"/>
        </w:rPr>
        <w:t xml:space="preserve"> </w:t>
      </w:r>
      <w:r>
        <w:rPr>
          <w:sz w:val="24"/>
          <w:szCs w:val="24"/>
        </w:rPr>
        <w:t>Os espaços de cultura e lazer na comunidade preocupam as crianças, pois estas afirmam que os espaços que existem não possuem locais voltados para as crianças e</w:t>
      </w:r>
      <w:r w:rsidR="00D87785">
        <w:rPr>
          <w:sz w:val="24"/>
          <w:szCs w:val="24"/>
        </w:rPr>
        <w:t>,</w:t>
      </w:r>
      <w:r>
        <w:rPr>
          <w:sz w:val="24"/>
          <w:szCs w:val="24"/>
        </w:rPr>
        <w:t xml:space="preserve"> para bebês</w:t>
      </w:r>
      <w:r w:rsidR="00D87785">
        <w:rPr>
          <w:sz w:val="24"/>
          <w:szCs w:val="24"/>
        </w:rPr>
        <w:t>,</w:t>
      </w:r>
      <w:r>
        <w:rPr>
          <w:sz w:val="24"/>
          <w:szCs w:val="24"/>
        </w:rPr>
        <w:t xml:space="preserve"> </w:t>
      </w:r>
      <w:r w:rsidR="00D87785">
        <w:rPr>
          <w:sz w:val="24"/>
          <w:szCs w:val="24"/>
        </w:rPr>
        <w:t>são</w:t>
      </w:r>
      <w:r>
        <w:rPr>
          <w:sz w:val="24"/>
          <w:szCs w:val="24"/>
        </w:rPr>
        <w:t xml:space="preserve"> inexistente</w:t>
      </w:r>
      <w:r w:rsidR="00D87785">
        <w:rPr>
          <w:sz w:val="24"/>
          <w:szCs w:val="24"/>
        </w:rPr>
        <w:t>s</w:t>
      </w:r>
      <w:r>
        <w:rPr>
          <w:sz w:val="24"/>
          <w:szCs w:val="24"/>
        </w:rPr>
        <w:t>, na visão destas. Sugeriram a construção de bibliotecas em locais ociosos, e também, junto às academias ao ar livre que são destinadas às pessoas idosas ou em outros espaços locais públicos. Mais uma vez</w:t>
      </w:r>
      <w:r w:rsidR="00D87785">
        <w:rPr>
          <w:sz w:val="24"/>
          <w:szCs w:val="24"/>
        </w:rPr>
        <w:t>,</w:t>
      </w:r>
      <w:r>
        <w:rPr>
          <w:sz w:val="24"/>
          <w:szCs w:val="24"/>
        </w:rPr>
        <w:t xml:space="preserve"> o olhar das crianças reafirma os dados encontrados sobre cultura e lazer para as crianças e adolescentes</w:t>
      </w:r>
      <w:r w:rsidR="00D87785">
        <w:rPr>
          <w:sz w:val="24"/>
          <w:szCs w:val="24"/>
        </w:rPr>
        <w:t>.</w:t>
      </w:r>
      <w:r>
        <w:rPr>
          <w:sz w:val="24"/>
          <w:szCs w:val="24"/>
        </w:rPr>
        <w:t xml:space="preserve"> </w:t>
      </w:r>
      <w:r w:rsidR="00D87785">
        <w:rPr>
          <w:sz w:val="24"/>
          <w:szCs w:val="24"/>
        </w:rPr>
        <w:t>T</w:t>
      </w:r>
      <w:r>
        <w:rPr>
          <w:sz w:val="24"/>
          <w:szCs w:val="24"/>
        </w:rPr>
        <w:t xml:space="preserve">ambém não identificamos políticas permanentes voltadas à cultura que priorizem as crianças e adolescentes, há projetos pontuais e outros gerais que têm em sua programação atividades para esse público. Outro ponto importante para as crianças é a relação com as pessoas </w:t>
      </w:r>
      <w:r w:rsidR="00D87785">
        <w:rPr>
          <w:sz w:val="24"/>
          <w:szCs w:val="24"/>
        </w:rPr>
        <w:t>adultas. Pelas falas, foi possível observar que, para as crianças,</w:t>
      </w:r>
      <w:r>
        <w:rPr>
          <w:sz w:val="24"/>
          <w:szCs w:val="24"/>
        </w:rPr>
        <w:t xml:space="preserve"> os adultos possuem um lugar importante na relação, lhes transmitindo segurança, ainda que em algumas falas posturas repressivas e punitivas das pessoas adultas tenham sido mencionadas pelas crianças com algum desconforto. O avanço da compreensão da relação entre adultos e crianças como de interdependência, como defende Michael </w:t>
      </w:r>
      <w:proofErr w:type="spellStart"/>
      <w:r>
        <w:rPr>
          <w:sz w:val="24"/>
          <w:szCs w:val="24"/>
        </w:rPr>
        <w:t>Wyness</w:t>
      </w:r>
      <w:proofErr w:type="spellEnd"/>
      <w:r>
        <w:rPr>
          <w:sz w:val="24"/>
          <w:szCs w:val="24"/>
        </w:rPr>
        <w:t xml:space="preserve"> (2012), contribuiria significativamente para a composição de relações menos verticais, mais democráticas, nas quais as crianças poderiam de fato exercer uma cidadania ativa, como preveem a Convenção dos Direitos das Crianças (ONU, 1989) e o Estatuto da Criança e do Adolescente (Brasil, 1990). Fica para nós o desafio de partir dos indicadores já produzidos e produzir aqueles que se fazem necessários sobre as políticas públicas para as infâncias, mas especialmente, ouvi-las/os, envolvê-las/os nos processos de formulação, implementação, monitoramento e avaliação das políticas públicas. Só assim, com a sua percepção de </w:t>
      </w:r>
      <w:r>
        <w:rPr>
          <w:sz w:val="24"/>
          <w:szCs w:val="24"/>
        </w:rPr>
        <w:lastRenderedPageBreak/>
        <w:t>quem vive a experiência e o seu olhar crítico, avançaremos na garantia de seus direitos de provisão, proteção e participação.</w:t>
      </w:r>
    </w:p>
    <w:p w14:paraId="5EBB1654" w14:textId="77777777" w:rsidR="0024498D" w:rsidRDefault="0024498D">
      <w:pPr>
        <w:keepLines/>
        <w:widowControl w:val="0"/>
        <w:spacing w:line="360" w:lineRule="auto"/>
        <w:jc w:val="both"/>
        <w:rPr>
          <w:sz w:val="24"/>
          <w:szCs w:val="24"/>
        </w:rPr>
      </w:pPr>
    </w:p>
    <w:p w14:paraId="4A547D0A" w14:textId="77777777" w:rsidR="0024498D" w:rsidRDefault="00BD5FD2">
      <w:pPr>
        <w:keepLines/>
        <w:widowControl w:val="0"/>
        <w:spacing w:line="360" w:lineRule="auto"/>
        <w:jc w:val="both"/>
        <w:rPr>
          <w:b/>
          <w:bCs/>
          <w:sz w:val="24"/>
          <w:szCs w:val="24"/>
        </w:rPr>
      </w:pPr>
      <w:r>
        <w:rPr>
          <w:b/>
          <w:bCs/>
          <w:sz w:val="24"/>
          <w:szCs w:val="24"/>
        </w:rPr>
        <w:t>PALAVRAS-CHAVE</w:t>
      </w:r>
    </w:p>
    <w:p w14:paraId="264DD162" w14:textId="77777777" w:rsidR="0024498D" w:rsidRDefault="00BD5FD2">
      <w:pPr>
        <w:keepLines/>
        <w:widowControl w:val="0"/>
        <w:spacing w:line="360" w:lineRule="auto"/>
        <w:jc w:val="both"/>
        <w:rPr>
          <w:sz w:val="24"/>
          <w:szCs w:val="24"/>
        </w:rPr>
      </w:pPr>
      <w:r>
        <w:rPr>
          <w:sz w:val="24"/>
          <w:szCs w:val="24"/>
        </w:rPr>
        <w:t xml:space="preserve">Infância - Direitos - Escuta - Participação - Políticas Públicas </w:t>
      </w:r>
    </w:p>
    <w:p w14:paraId="126673E5" w14:textId="77777777" w:rsidR="0024498D" w:rsidRDefault="0024498D">
      <w:pPr>
        <w:keepLines/>
        <w:widowControl w:val="0"/>
        <w:spacing w:line="240" w:lineRule="auto"/>
        <w:rPr>
          <w:sz w:val="24"/>
          <w:szCs w:val="24"/>
        </w:rPr>
      </w:pPr>
    </w:p>
    <w:p w14:paraId="7F78E31E" w14:textId="77777777" w:rsidR="0024498D" w:rsidRDefault="0024498D">
      <w:pPr>
        <w:keepLines/>
        <w:widowControl w:val="0"/>
        <w:spacing w:line="240" w:lineRule="auto"/>
        <w:rPr>
          <w:b/>
          <w:bCs/>
          <w:sz w:val="24"/>
          <w:szCs w:val="24"/>
        </w:rPr>
      </w:pPr>
    </w:p>
    <w:p w14:paraId="5BADE850" w14:textId="77777777" w:rsidR="0024498D" w:rsidRDefault="00BD5FD2">
      <w:pPr>
        <w:keepLines/>
        <w:widowControl w:val="0"/>
        <w:spacing w:line="240" w:lineRule="auto"/>
        <w:rPr>
          <w:b/>
          <w:bCs/>
          <w:sz w:val="24"/>
          <w:szCs w:val="24"/>
        </w:rPr>
      </w:pPr>
      <w:r>
        <w:rPr>
          <w:b/>
          <w:bCs/>
          <w:sz w:val="24"/>
          <w:szCs w:val="24"/>
        </w:rPr>
        <w:t>REFERÊNCIAS</w:t>
      </w:r>
    </w:p>
    <w:p w14:paraId="39B62CFD" w14:textId="77777777" w:rsidR="0024498D" w:rsidRDefault="00BD5FD2">
      <w:pPr>
        <w:keepLines/>
        <w:widowControl w:val="0"/>
        <w:spacing w:line="240" w:lineRule="auto"/>
        <w:rPr>
          <w:sz w:val="24"/>
          <w:szCs w:val="24"/>
        </w:rPr>
      </w:pPr>
      <w:r>
        <w:rPr>
          <w:sz w:val="24"/>
          <w:szCs w:val="24"/>
        </w:rPr>
        <w:t xml:space="preserve"> </w:t>
      </w:r>
    </w:p>
    <w:p w14:paraId="1CE8BD47" w14:textId="77777777" w:rsidR="0024498D" w:rsidRDefault="00BD5FD2">
      <w:pPr>
        <w:widowControl w:val="0"/>
        <w:pBdr>
          <w:top w:val="nil"/>
          <w:left w:val="nil"/>
          <w:bottom w:val="nil"/>
          <w:right w:val="nil"/>
          <w:between w:val="nil"/>
        </w:pBdr>
        <w:rPr>
          <w:sz w:val="24"/>
          <w:szCs w:val="24"/>
        </w:rPr>
      </w:pPr>
      <w:r>
        <w:rPr>
          <w:sz w:val="24"/>
          <w:szCs w:val="24"/>
        </w:rPr>
        <w:t xml:space="preserve">BRASIL. </w:t>
      </w:r>
      <w:r>
        <w:rPr>
          <w:b/>
          <w:bCs/>
          <w:sz w:val="24"/>
          <w:szCs w:val="24"/>
        </w:rPr>
        <w:t>Lei nº 8.069, de 13 de julho de 1990.</w:t>
      </w:r>
      <w:r>
        <w:rPr>
          <w:sz w:val="24"/>
          <w:szCs w:val="24"/>
        </w:rPr>
        <w:t xml:space="preserve"> Dispõe sobre o Estatuto da Criança e do Adolescente e dá outras providências. Brasília, DF: Presidência da República.</w:t>
      </w:r>
    </w:p>
    <w:p w14:paraId="27B21EB1" w14:textId="77777777" w:rsidR="0024498D" w:rsidRDefault="0024498D">
      <w:pPr>
        <w:widowControl w:val="0"/>
        <w:pBdr>
          <w:top w:val="nil"/>
          <w:left w:val="nil"/>
          <w:bottom w:val="nil"/>
          <w:right w:val="nil"/>
          <w:between w:val="nil"/>
        </w:pBdr>
        <w:rPr>
          <w:sz w:val="24"/>
          <w:szCs w:val="24"/>
        </w:rPr>
      </w:pPr>
    </w:p>
    <w:p w14:paraId="7750343B" w14:textId="77777777" w:rsidR="0024498D" w:rsidRPr="00323FE6" w:rsidRDefault="00BD5FD2">
      <w:pPr>
        <w:widowControl w:val="0"/>
        <w:pBdr>
          <w:top w:val="nil"/>
          <w:left w:val="nil"/>
          <w:bottom w:val="nil"/>
          <w:right w:val="nil"/>
          <w:between w:val="nil"/>
        </w:pBdr>
        <w:rPr>
          <w:sz w:val="24"/>
          <w:szCs w:val="24"/>
          <w:lang w:val="en-US"/>
        </w:rPr>
      </w:pPr>
      <w:r>
        <w:rPr>
          <w:sz w:val="24"/>
          <w:szCs w:val="24"/>
        </w:rPr>
        <w:t xml:space="preserve">ONU. </w:t>
      </w:r>
      <w:r>
        <w:rPr>
          <w:b/>
          <w:bCs/>
          <w:sz w:val="24"/>
          <w:szCs w:val="24"/>
        </w:rPr>
        <w:t>Convenção sobre os Direitos das Crianças.</w:t>
      </w:r>
      <w:r>
        <w:rPr>
          <w:sz w:val="24"/>
          <w:szCs w:val="24"/>
        </w:rPr>
        <w:t xml:space="preserve"> </w:t>
      </w:r>
      <w:r w:rsidRPr="00323FE6">
        <w:rPr>
          <w:sz w:val="24"/>
          <w:szCs w:val="24"/>
          <w:lang w:val="en-US"/>
        </w:rPr>
        <w:t>ONU, 1989.</w:t>
      </w:r>
    </w:p>
    <w:p w14:paraId="5AF0A3A8" w14:textId="77777777" w:rsidR="0024498D" w:rsidRPr="00323FE6" w:rsidRDefault="0024498D">
      <w:pPr>
        <w:widowControl w:val="0"/>
        <w:rPr>
          <w:sz w:val="24"/>
          <w:szCs w:val="24"/>
          <w:lang w:val="en-US"/>
        </w:rPr>
      </w:pPr>
    </w:p>
    <w:p w14:paraId="5CC35758" w14:textId="77777777" w:rsidR="0024498D" w:rsidRDefault="00BD5FD2">
      <w:pPr>
        <w:widowControl w:val="0"/>
        <w:rPr>
          <w:sz w:val="24"/>
          <w:szCs w:val="24"/>
        </w:rPr>
      </w:pPr>
      <w:r w:rsidRPr="00323FE6">
        <w:rPr>
          <w:sz w:val="24"/>
          <w:szCs w:val="24"/>
          <w:lang w:val="en-US"/>
        </w:rPr>
        <w:t xml:space="preserve">WYNESS, Michael. Children’s participation and intergenerational dialogue: Bringing adults back into the analysis. </w:t>
      </w:r>
      <w:proofErr w:type="spellStart"/>
      <w:r>
        <w:rPr>
          <w:b/>
          <w:bCs/>
          <w:sz w:val="24"/>
          <w:szCs w:val="24"/>
        </w:rPr>
        <w:t>Childhood</w:t>
      </w:r>
      <w:proofErr w:type="spellEnd"/>
      <w:r>
        <w:rPr>
          <w:b/>
          <w:bCs/>
          <w:sz w:val="24"/>
          <w:szCs w:val="24"/>
        </w:rPr>
        <w:t>,</w:t>
      </w:r>
      <w:r>
        <w:rPr>
          <w:sz w:val="24"/>
          <w:szCs w:val="24"/>
        </w:rPr>
        <w:t xml:space="preserve"> 20(4) 429–442, 2012. DOI: 10.1177/0907568212459775</w:t>
      </w:r>
    </w:p>
    <w:p w14:paraId="4CFAB9B6" w14:textId="77777777" w:rsidR="0024498D" w:rsidRDefault="0024498D">
      <w:pPr>
        <w:spacing w:after="200" w:line="240" w:lineRule="auto"/>
        <w:jc w:val="both"/>
        <w:rPr>
          <w:b/>
          <w:bCs/>
          <w:sz w:val="24"/>
          <w:szCs w:val="24"/>
        </w:rPr>
      </w:pPr>
    </w:p>
    <w:sectPr w:rsidR="0024498D">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B1D20" w14:textId="77777777" w:rsidR="003770E7" w:rsidRDefault="003770E7">
      <w:pPr>
        <w:spacing w:line="240" w:lineRule="auto"/>
      </w:pPr>
      <w:r>
        <w:separator/>
      </w:r>
    </w:p>
  </w:endnote>
  <w:endnote w:type="continuationSeparator" w:id="0">
    <w:p w14:paraId="3C5009E9" w14:textId="77777777" w:rsidR="003770E7" w:rsidRDefault="003770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embedRegular r:id="rId1" w:fontKey="{F3A72A9E-FBE5-3544-B827-446E57261914}"/>
    <w:embedBold r:id="rId2" w:fontKey="{B68C13CA-DFF1-E045-BD1E-C96F2116FCA4}"/>
    <w:embedItalic r:id="rId3" w:fontKey="{21F8CE4C-EA13-684B-9151-AB22F277018F}"/>
  </w:font>
  <w:font w:name="Times New Roman">
    <w:panose1 w:val="02020603050405020304"/>
    <w:charset w:val="00"/>
    <w:family w:val="roman"/>
    <w:pitch w:val="variable"/>
    <w:sig w:usb0="E0002EFF" w:usb1="C000785B" w:usb2="00000009" w:usb3="00000000" w:csb0="000001FF" w:csb1="00000000"/>
    <w:embedRegular r:id="rId4" w:fontKey="{1D920178-59E0-2647-858D-E399343647CA}"/>
    <w:embedBold r:id="rId5" w:fontKey="{D925D547-A163-4546-9186-3A0455825F37}"/>
  </w:font>
  <w:font w:name="Calibri">
    <w:panose1 w:val="020F0502020204030204"/>
    <w:charset w:val="00"/>
    <w:family w:val="swiss"/>
    <w:pitch w:val="variable"/>
    <w:sig w:usb0="E4002EFF" w:usb1="C200247B" w:usb2="00000009" w:usb3="00000000" w:csb0="000001FF" w:csb1="00000000"/>
    <w:embedRegular r:id="rId6" w:fontKey="{5A1FCBE7-1ABA-0E4C-A82D-0003C81B8339}"/>
  </w:font>
  <w:font w:name="Cambria">
    <w:panose1 w:val="02040503050406030204"/>
    <w:charset w:val="00"/>
    <w:family w:val="roman"/>
    <w:pitch w:val="variable"/>
    <w:sig w:usb0="E00002FF" w:usb1="400004FF" w:usb2="00000000" w:usb3="00000000" w:csb0="0000019F" w:csb1="00000000"/>
    <w:embedRegular r:id="rId7" w:fontKey="{ACABA049-DB62-F441-AC90-16586483CC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1B2DB" w14:textId="77777777" w:rsidR="0024498D" w:rsidRDefault="00BD5FD2">
    <w:pPr>
      <w:jc w:val="center"/>
    </w:pPr>
    <w:r>
      <w:fldChar w:fldCharType="begin"/>
    </w:r>
    <w:r>
      <w:instrText>PAGE</w:instrText>
    </w:r>
    <w:r>
      <w:fldChar w:fldCharType="separate"/>
    </w:r>
    <w:r w:rsidR="00323FE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4B314" w14:textId="77777777" w:rsidR="0024498D" w:rsidRDefault="002449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27184" w14:textId="77777777" w:rsidR="003770E7" w:rsidRDefault="003770E7">
      <w:pPr>
        <w:spacing w:line="240" w:lineRule="auto"/>
      </w:pPr>
      <w:r>
        <w:separator/>
      </w:r>
    </w:p>
  </w:footnote>
  <w:footnote w:type="continuationSeparator" w:id="0">
    <w:p w14:paraId="5847881C" w14:textId="77777777" w:rsidR="003770E7" w:rsidRDefault="003770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ED4AB" w14:textId="77777777" w:rsidR="0024498D" w:rsidRDefault="00BD5FD2">
    <w:pPr>
      <w:jc w:val="right"/>
    </w:pPr>
    <w:r>
      <w:rPr>
        <w:noProof/>
      </w:rPr>
      <w:drawing>
        <wp:anchor distT="0" distB="0" distL="0" distR="0" simplePos="0" relativeHeight="251658240" behindDoc="1" locked="0" layoutInCell="1" hidden="0" allowOverlap="1" wp14:anchorId="3E77785F" wp14:editId="0851AE5B">
          <wp:simplePos x="0" y="0"/>
          <wp:positionH relativeFrom="column">
            <wp:posOffset>5000625</wp:posOffset>
          </wp:positionH>
          <wp:positionV relativeFrom="paragraph">
            <wp:posOffset>8886825</wp:posOffset>
          </wp:positionV>
          <wp:extent cx="1700213" cy="1700213"/>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0" distB="0" distL="0" distR="0" simplePos="0" relativeHeight="251659264" behindDoc="1" locked="0" layoutInCell="1" hidden="0" allowOverlap="1" wp14:anchorId="409A845E" wp14:editId="02D4E38B">
          <wp:simplePos x="0" y="0"/>
          <wp:positionH relativeFrom="column">
            <wp:posOffset>5791200</wp:posOffset>
          </wp:positionH>
          <wp:positionV relativeFrom="paragraph">
            <wp:posOffset>-304798</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9619DBB" w14:textId="77777777" w:rsidR="0024498D" w:rsidRDefault="0024498D">
    <w:pPr>
      <w:jc w:val="right"/>
    </w:pPr>
  </w:p>
  <w:p w14:paraId="70ECE134" w14:textId="77777777" w:rsidR="0024498D" w:rsidRDefault="0024498D">
    <w:pPr>
      <w:jc w:val="right"/>
    </w:pPr>
  </w:p>
  <w:p w14:paraId="4A8872AA" w14:textId="77777777" w:rsidR="0024498D" w:rsidRDefault="00BD5FD2">
    <w:r>
      <w:rPr>
        <w:noProof/>
      </w:rPr>
      <w:drawing>
        <wp:anchor distT="0" distB="0" distL="0" distR="0" simplePos="0" relativeHeight="251660288" behindDoc="1" locked="0" layoutInCell="1" hidden="0" allowOverlap="1" wp14:anchorId="3C29F35C" wp14:editId="3069DC2E">
          <wp:simplePos x="0" y="0"/>
          <wp:positionH relativeFrom="page">
            <wp:posOffset>0</wp:posOffset>
          </wp:positionH>
          <wp:positionV relativeFrom="page">
            <wp:posOffset>-5713</wp:posOffset>
          </wp:positionV>
          <wp:extent cx="416339" cy="1071657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8C709" w14:textId="77777777" w:rsidR="0024498D" w:rsidRDefault="002449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8D"/>
    <w:rsid w:val="0024498D"/>
    <w:rsid w:val="00323FE6"/>
    <w:rsid w:val="003770E7"/>
    <w:rsid w:val="0043169C"/>
    <w:rsid w:val="00BD5FD2"/>
    <w:rsid w:val="00D87785"/>
    <w:rsid w:val="00F629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9AAA755"/>
  <w15:docId w15:val="{F13B4571-4AC2-554F-B77A-D67B1E91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mWPWpLCYsJYSAsfEquh1n1OLmA==">CgMxLjA4AHIhMW5YcS1zaXhJZnB3ZjRMd0k2N3JDSWNGSVl1YWlOZEVr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1251</Words>
  <Characters>6758</Characters>
  <Application>Microsoft Office Word</Application>
  <DocSecurity>0</DocSecurity>
  <Lines>56</Lines>
  <Paragraphs>15</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2026-08-16T20:55:00Z</dcterms:created>
  <dcterms:modified xsi:type="dcterms:W3CDTF">2026-08-16T21:04:00Z</dcterms:modified>
</cp:coreProperties>
</file>