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CONVERSATÓRIO 2 - VIVENCIANDO A EDUCAÇÃO NA MATRIZ AFRICANA</w:t>
      </w:r>
    </w:p>
    <w:p w:rsidR="00000000" w:rsidDel="00000000" w:rsidP="00000000" w:rsidRDefault="00000000" w:rsidRPr="00000000" w14:paraId="00000002">
      <w:pPr>
        <w:keepLines w:val="1"/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1"/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AUTORIDADE ANCESTRAL E SOBERANIA ORÇAMENTÁRIA: fissuras ao circuito epistemicídio-mentecídio na Educação</w:t>
      </w:r>
    </w:p>
    <w:p w:rsidR="00000000" w:rsidDel="00000000" w:rsidP="00000000" w:rsidRDefault="00000000" w:rsidRPr="00000000" w14:paraId="00000006">
      <w:pPr>
        <w:keepLines w:val="1"/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widowControl w:val="0"/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George Luiz Caetano, Universidade de Brasília, george.caetano@unb.br</w:t>
      </w:r>
    </w:p>
    <w:p w:rsidR="00000000" w:rsidDel="00000000" w:rsidP="00000000" w:rsidRDefault="00000000" w:rsidRPr="00000000" w14:paraId="00000009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Ruth Aparecida da Silva, Instituto Federal Goiano, ruth.viana@ifgoiano.edu.br</w:t>
      </w:r>
    </w:p>
    <w:p w:rsidR="00000000" w:rsidDel="00000000" w:rsidP="00000000" w:rsidRDefault="00000000" w:rsidRPr="00000000" w14:paraId="0000000A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Jessica Pantoja, Universidade de São Paulo, jessica.pantoja@usp.br</w:t>
      </w:r>
    </w:p>
    <w:p w:rsidR="00000000" w:rsidDel="00000000" w:rsidP="00000000" w:rsidRDefault="00000000" w:rsidRPr="00000000" w14:paraId="0000000B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0E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escola brasileira ainda opera como espaço de manutenção de hierarquias raciais e epistêmicas, definindo quais conhecimentos, memórias e sujeitos podem ocupar o lugar de autoridade. Em Sueli Carneiro (2023), o epistemicídio não designa apenas a ausência de conteúdos afro-brasileiros no currículo, mas o apagamento das condições que permitem reconhecer sujeitos negros como produtores de conhecimento. Esse processo prepara o terreno para o mentecídio, conceito mobilizado a partir de Abdias do Nascimento (1980), entendido como captura da consciência negra e desautorização de suas referências históricas, culturais e intelectuais. Quando se institucionaliza em currículos, avaliações, tempos escolares e práticas burocráticas, essa dupla violência restringe a transmissão e a renovação de saberes ancestrais e populares.</w:t>
      </w:r>
    </w:p>
    <w:p w:rsidR="00000000" w:rsidDel="00000000" w:rsidP="00000000" w:rsidRDefault="00000000" w:rsidRPr="00000000" w14:paraId="00000010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diante desse circuito que o presente ensaio teórico-político investiga de que modo a Pedagogia Griô pode operar como tecnologia ontopolítica de contracolonização, articulando a reinscrição da memória ancestral e popular na escola à disputa material pela soberania intelectual. O estudo se ancora em revisão crítica de literatura, com prioridade para o pensamento social negro e para epistemologias decoloniais e contracoloniais. O percurso analítico aproxima a compreensão do epistemicídio-mentecídio da genealogia da Pedagogia Griô e das tensões que sua presença produz no cotidiano escolar e na disputa por reconhecimento público e financiamento. A leitura considera ainda os riscos de captura folclórica dessas práticas pela instituição escolar.</w:t>
      </w:r>
    </w:p>
    <w:p w:rsidR="00000000" w:rsidDel="00000000" w:rsidP="00000000" w:rsidRDefault="00000000" w:rsidRPr="00000000" w14:paraId="00000011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Sistematizada por Lílian Pacheco (2006), a Pedagogia Griô reposiciona mestres e mestras de tradição oral como autoridades pedagógicas e epistêmicas. Ao colocar griôs, mestres de capoeira, ialorixás, benzedeiras e outros guardiões de saberes no centro do processo educativo, ela confronta a exclusividade da autoridade escolar fundada no diploma, na escrita e na racionalidade eurocentrada. Não se trata, portanto, de inserir práticas culturais como complemento curricular, mas de reconhecer oralidade, corporeidade, circularidade e memória ancestral como formas legítimas de produção e transmissão de conhecimento.</w:t>
      </w:r>
    </w:p>
    <w:p w:rsidR="00000000" w:rsidDel="00000000" w:rsidP="00000000" w:rsidRDefault="00000000" w:rsidRPr="00000000" w14:paraId="00000012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análise indica que essa presença encontra limites nas estruturas ordinárias da escola. Grades horárias, avaliações individualizantes, normas administrativas e critérios hegemônicos de validação podem acolher rodas, cantos, danças e celebrações como atividades culturais, sem lhes atribuir estatuto epistêmico. A Pedagogia Griô explicita, assim, a tensão entre o saber sintético das instituições coloniais e o saber orgânico vinculado aos ritmos comunitários, à experiência e à transmissão intergeracional, conforme a formulação de Antônio Bispo dos Santos (2015). Sua força não está em resolver imediatamente a colonialidade escolar, mas em produzir fissuras nos modos pelos quais a instituição organiza tempo, autoridade, currículo e avaliação. Nessa travessia, a escola pode converter a roda em atividade complementar e a tradição oral em ornamento cultural, preservando a hierarquia que separa quem vivencia o saber de quem detém o poder de validá-lo. </w:t>
      </w:r>
    </w:p>
    <w:p w:rsidR="00000000" w:rsidDel="00000000" w:rsidP="00000000" w:rsidRDefault="00000000" w:rsidRPr="00000000" w14:paraId="00000013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Essas fissuras permanecem precárias quando a disputa se restringe ao plano simbólico. Renísia Filice (2022) sustenta que a soberania intelectual requer soberania sobre a execução dos recursos públicos; por isso, o reconhecimento dos saberes de tradição oral depende também de condições materiais para a existência digna de seus mestres e mestras. A discussão sobre o Projeto de Lei n. 1.786/2011, que institui a Política Nacional Griô (Brasil, 2011) para proteção e fomento à transmissão dos saberes e fazeres de tradição oral, evidencia que a luta pela autoridade ancestral envolve reconhecimento legal, remuneração e participação efetiva na definição das políticas educacionais.</w:t>
      </w:r>
    </w:p>
    <w:p w:rsidR="00000000" w:rsidDel="00000000" w:rsidP="00000000" w:rsidRDefault="00000000" w:rsidRPr="00000000" w14:paraId="00000014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Conclui-se que a Pedagogia Griô pode fissurar o circuito epistemicídio-mentecídio em dois planos articulados: ao restituir legitimidade aos saberes ancestrais e populares, enfrenta o apagamento epistêmico; ao favorecer o reconhecimento de subjetividades negras como produtoras de conhecimento, contrapõe-se à captura de suas memórias e referências. Contudo, essa potência depende de sua sustentação material e política. A contracolonização do currículo não se efetiva apenas pela inclusão de temas ou ações pontuais: requer que mestres e mestras de tradição oral sejam reconhecidos como autoridades, tenham condições dignas de atuação e participem das decisões sobre os recursos que tornam sua presença possível na escola.</w:t>
      </w:r>
    </w:p>
    <w:p w:rsidR="00000000" w:rsidDel="00000000" w:rsidP="00000000" w:rsidRDefault="00000000" w:rsidRPr="00000000" w14:paraId="00000015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PALAVRAS-CHAVE</w:t>
      </w:r>
    </w:p>
    <w:p w:rsidR="00000000" w:rsidDel="00000000" w:rsidP="00000000" w:rsidRDefault="00000000" w:rsidRPr="00000000" w14:paraId="00000017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Pedagogia Griô; Educação de matriz africana; Epistemicídio; Contracolonização; Soberania intelectual.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Lines w:val="1"/>
        <w:widowControl w:val="0"/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BRASIL. Câmara dos Deputados.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Projeto de Lei n. 1.786, de 2011</w:t>
      </w:r>
      <w:r w:rsidDel="00000000" w:rsidR="00000000" w:rsidRPr="00000000">
        <w:rPr>
          <w:sz w:val="24"/>
          <w:szCs w:val="24"/>
          <w:rtl w:val="0"/>
        </w:rPr>
        <w:t xml:space="preserve">. Institui a Política Nacional Gri, para proteção e fomento à transmissão dos saberes e fazeres de tradição oral. Brasília, DF: Câmara dos Deputados, 2011.</w:t>
      </w:r>
    </w:p>
    <w:p w:rsidR="00000000" w:rsidDel="00000000" w:rsidP="00000000" w:rsidRDefault="00000000" w:rsidRPr="00000000" w14:paraId="0000001B">
      <w:pPr>
        <w:keepLines w:val="1"/>
        <w:widowControl w:val="0"/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CARNEIRO, Sueli.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Dispositivo de racialidade: </w:t>
      </w:r>
      <w:r w:rsidDel="00000000" w:rsidR="00000000" w:rsidRPr="00000000">
        <w:rPr>
          <w:sz w:val="24"/>
          <w:szCs w:val="24"/>
          <w:rtl w:val="0"/>
        </w:rPr>
        <w:t xml:space="preserve">a construção do outro como não ser como fundamento do ser. Rio de Janeiro: Zahar, 2023.</w:t>
      </w:r>
    </w:p>
    <w:p w:rsidR="00000000" w:rsidDel="00000000" w:rsidP="00000000" w:rsidRDefault="00000000" w:rsidRPr="00000000" w14:paraId="0000001C">
      <w:pPr>
        <w:keepLines w:val="1"/>
        <w:widowControl w:val="0"/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FILICE, Renísia Cristina Garcia. Soberania intelectual e a produção do conhecimento: notas sobre a pesquisa militante. In: JESUS, Leandro Santos Bulhões de; BARROS, Miguel de; FILICE, Renísia Cristina Garcia (org.).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Tecendo redes antirracistas II: </w:t>
      </w:r>
      <w:r w:rsidDel="00000000" w:rsidR="00000000" w:rsidRPr="00000000">
        <w:rPr>
          <w:sz w:val="24"/>
          <w:szCs w:val="24"/>
          <w:rtl w:val="0"/>
        </w:rPr>
        <w:t xml:space="preserve">contracolonização e soberania intelectual. Fortaleza: Imprensa Universitária, 2022. p. 115-136.</w:t>
      </w:r>
    </w:p>
    <w:p w:rsidR="00000000" w:rsidDel="00000000" w:rsidP="00000000" w:rsidRDefault="00000000" w:rsidRPr="00000000" w14:paraId="0000001D">
      <w:pPr>
        <w:keepLines w:val="1"/>
        <w:widowControl w:val="0"/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NASCIMENTO, Abdias do.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quilombismo: </w:t>
      </w:r>
      <w:r w:rsidDel="00000000" w:rsidR="00000000" w:rsidRPr="00000000">
        <w:rPr>
          <w:sz w:val="24"/>
          <w:szCs w:val="24"/>
          <w:rtl w:val="0"/>
        </w:rPr>
        <w:t xml:space="preserve">documentos de uma militância pan-africanista. Petrópolis: Vozes, 1980.</w:t>
      </w:r>
    </w:p>
    <w:p w:rsidR="00000000" w:rsidDel="00000000" w:rsidP="00000000" w:rsidRDefault="00000000" w:rsidRPr="00000000" w14:paraId="0000001E">
      <w:pPr>
        <w:keepLines w:val="1"/>
        <w:widowControl w:val="0"/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PACHECO, Lílian.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Pedagogia Griô: </w:t>
      </w:r>
      <w:r w:rsidDel="00000000" w:rsidR="00000000" w:rsidRPr="00000000">
        <w:rPr>
          <w:sz w:val="24"/>
          <w:szCs w:val="24"/>
          <w:rtl w:val="0"/>
        </w:rPr>
        <w:t xml:space="preserve">a reinvenção da roda da vida. 1. ed. Lençóis, BA: Grãos de Luz e Gri, 2006.</w:t>
      </w:r>
    </w:p>
    <w:p w:rsidR="00000000" w:rsidDel="00000000" w:rsidP="00000000" w:rsidRDefault="00000000" w:rsidRPr="00000000" w14:paraId="0000001F">
      <w:pPr>
        <w:keepLines w:val="1"/>
        <w:widowControl w:val="0"/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SANTOS, Antônio Bispo dos.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Colonização, quilombos: </w:t>
      </w:r>
      <w:r w:rsidDel="00000000" w:rsidR="00000000" w:rsidRPr="00000000">
        <w:rPr>
          <w:sz w:val="24"/>
          <w:szCs w:val="24"/>
          <w:rtl w:val="0"/>
        </w:rPr>
        <w:t xml:space="preserve">modos e significações. Brasília, DF: INCTI/UnB, 2015.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b="0" l="0" r="0" t="0"/>
          <wp:wrapNone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5791200</wp:posOffset>
          </wp:positionH>
          <wp:positionV relativeFrom="paragraph">
            <wp:posOffset>-304798</wp:posOffset>
          </wp:positionV>
          <wp:extent cx="664882" cy="762000"/>
          <wp:effectExtent b="0" l="0" r="0" t="0"/>
          <wp:wrapNone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235" l="0" r="0" t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jc w:val="left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-5713</wp:posOffset>
          </wp:positionV>
          <wp:extent cx="416339" cy="10716578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NnEXsuLAQ4eeeYGLi1P5NBL7ZA==">CgMxLjA4AHIhMUlVc1AzVDBmYm52NDRiaVpkTjQtNHVCZDVOdENqbjlZ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