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DC22" w14:textId="3419912E" w:rsidR="00AA0CA3" w:rsidRDefault="00374AD7" w:rsidP="00374AD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374AD7">
        <w:rPr>
          <w:b/>
          <w:bCs/>
          <w:sz w:val="24"/>
          <w:szCs w:val="24"/>
        </w:rPr>
        <w:t>GÊNERO, RAÇA E SEXUALIDADE NA EDUCAÇÃO:</w:t>
      </w:r>
      <w:r>
        <w:rPr>
          <w:b/>
          <w:bCs/>
          <w:sz w:val="24"/>
          <w:szCs w:val="24"/>
        </w:rPr>
        <w:t xml:space="preserve"> </w:t>
      </w:r>
      <w:r w:rsidRPr="00374AD7">
        <w:rPr>
          <w:b/>
          <w:bCs/>
          <w:sz w:val="24"/>
          <w:szCs w:val="24"/>
        </w:rPr>
        <w:t>INTERSECCIONALIDADES, TERRITÓRIOS DE (RE)EXISTÊNCIA E PEDAGOGIAS</w:t>
      </w:r>
      <w:r>
        <w:rPr>
          <w:b/>
          <w:bCs/>
          <w:sz w:val="24"/>
          <w:szCs w:val="24"/>
        </w:rPr>
        <w:t xml:space="preserve"> </w:t>
      </w:r>
      <w:r w:rsidRPr="00374AD7">
        <w:rPr>
          <w:b/>
          <w:bCs/>
          <w:sz w:val="24"/>
          <w:szCs w:val="24"/>
        </w:rPr>
        <w:t>DESOBEDIENTES</w:t>
      </w:r>
    </w:p>
    <w:p w14:paraId="4A8480F8" w14:textId="77777777" w:rsidR="007308F3" w:rsidRPr="007308F3" w:rsidRDefault="007308F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1DF22A1" w14:textId="77777777" w:rsidR="008811FF" w:rsidRPr="00164345" w:rsidRDefault="008811FF" w:rsidP="008811FF">
      <w:pPr>
        <w:pStyle w:val="SemEspaamento"/>
        <w:spacing w:line="360" w:lineRule="auto"/>
        <w:ind w:firstLine="709"/>
        <w:jc w:val="center"/>
        <w:rPr>
          <w:rFonts w:ascii="Arial" w:hAnsi="Arial" w:cs="Arial"/>
        </w:rPr>
      </w:pPr>
      <w:r w:rsidRPr="00164345">
        <w:rPr>
          <w:rFonts w:ascii="Arial" w:hAnsi="Arial" w:cs="Arial"/>
          <w:color w:val="303030"/>
          <w:shd w:val="clear" w:color="auto" w:fill="FFFFFF"/>
        </w:rPr>
        <w:t>FLIGBELÔ e Educação Antirracista: O Educar para as Relações Étnico-Raciais sob a Ótica de Mulheres Negras</w:t>
      </w:r>
    </w:p>
    <w:p w14:paraId="65E08F37" w14:textId="77777777" w:rsidR="00AA0CA3" w:rsidRDefault="00AA0CA3" w:rsidP="008811FF">
      <w:pPr>
        <w:keepLines/>
        <w:widowControl w:val="0"/>
        <w:spacing w:line="240" w:lineRule="auto"/>
        <w:rPr>
          <w:sz w:val="24"/>
          <w:szCs w:val="24"/>
        </w:rPr>
      </w:pPr>
    </w:p>
    <w:p w14:paraId="039C8FD8" w14:textId="66DF421A" w:rsidR="007308F3" w:rsidRPr="007308F3" w:rsidRDefault="007308F3" w:rsidP="007308F3">
      <w:pPr>
        <w:tabs>
          <w:tab w:val="left" w:pos="2760"/>
        </w:tabs>
        <w:spacing w:after="160" w:line="259" w:lineRule="auto"/>
        <w:jc w:val="right"/>
        <w:rPr>
          <w:rFonts w:eastAsia="Times New Roman"/>
          <w:sz w:val="24"/>
          <w:szCs w:val="24"/>
        </w:rPr>
      </w:pPr>
      <w:r w:rsidRPr="007308F3">
        <w:rPr>
          <w:rFonts w:eastAsia="Times New Roman"/>
          <w:sz w:val="24"/>
          <w:szCs w:val="24"/>
        </w:rPr>
        <w:t>Luana Silva França</w:t>
      </w:r>
    </w:p>
    <w:p w14:paraId="284711C2" w14:textId="77777777" w:rsidR="007308F3" w:rsidRPr="007308F3" w:rsidRDefault="007308F3" w:rsidP="007308F3">
      <w:pPr>
        <w:tabs>
          <w:tab w:val="left" w:pos="2760"/>
        </w:tabs>
        <w:spacing w:after="160" w:line="259" w:lineRule="auto"/>
        <w:jc w:val="right"/>
        <w:rPr>
          <w:rFonts w:eastAsia="Times New Roman"/>
          <w:sz w:val="24"/>
          <w:szCs w:val="24"/>
        </w:rPr>
      </w:pPr>
      <w:r w:rsidRPr="007308F3">
        <w:rPr>
          <w:rFonts w:eastAsia="Times New Roman"/>
          <w:sz w:val="24"/>
          <w:szCs w:val="24"/>
        </w:rPr>
        <w:t>Universidade Estadual do Sudoeste da Bahia – UESB</w:t>
      </w:r>
    </w:p>
    <w:p w14:paraId="49811379" w14:textId="77777777" w:rsidR="007308F3" w:rsidRPr="007308F3" w:rsidRDefault="007308F3" w:rsidP="007308F3">
      <w:pPr>
        <w:tabs>
          <w:tab w:val="left" w:pos="2760"/>
        </w:tabs>
        <w:spacing w:after="160" w:line="259" w:lineRule="auto"/>
        <w:jc w:val="right"/>
        <w:rPr>
          <w:rStyle w:val="Hyperlink"/>
          <w:rFonts w:eastAsia="Times New Roman"/>
          <w:sz w:val="24"/>
          <w:szCs w:val="24"/>
        </w:rPr>
      </w:pPr>
      <w:hyperlink r:id="rId7" w:history="1">
        <w:r w:rsidRPr="007308F3">
          <w:rPr>
            <w:rStyle w:val="Hyperlink"/>
            <w:rFonts w:eastAsia="Times New Roman"/>
            <w:sz w:val="24"/>
            <w:szCs w:val="24"/>
          </w:rPr>
          <w:t>pretaprofranca@gmail.com</w:t>
        </w:r>
      </w:hyperlink>
    </w:p>
    <w:p w14:paraId="64C2A462" w14:textId="1A6942E9" w:rsidR="007308F3" w:rsidRPr="007308F3" w:rsidRDefault="007308F3" w:rsidP="007308F3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7308F3">
        <w:rPr>
          <w:color w:val="000000" w:themeColor="text1"/>
          <w:sz w:val="24"/>
          <w:szCs w:val="24"/>
        </w:rPr>
        <w:t>Ana Luiza Salgado Cunha</w:t>
      </w:r>
    </w:p>
    <w:p w14:paraId="1A293F63" w14:textId="0727C2C8" w:rsidR="007308F3" w:rsidRPr="007308F3" w:rsidRDefault="007308F3" w:rsidP="007308F3">
      <w:pPr>
        <w:spacing w:after="160" w:line="259" w:lineRule="auto"/>
        <w:ind w:right="11"/>
        <w:jc w:val="right"/>
        <w:rPr>
          <w:rFonts w:eastAsia="Calibri"/>
          <w:color w:val="000000" w:themeColor="text1"/>
          <w:sz w:val="24"/>
          <w:szCs w:val="24"/>
        </w:rPr>
      </w:pPr>
      <w:r w:rsidRPr="007308F3">
        <w:rPr>
          <w:rFonts w:eastAsia="Calibri"/>
          <w:color w:val="000000" w:themeColor="text1"/>
          <w:sz w:val="24"/>
          <w:szCs w:val="24"/>
        </w:rPr>
        <w:t xml:space="preserve">Universidade Estadual </w:t>
      </w:r>
      <w:r w:rsidR="00683DE9">
        <w:rPr>
          <w:rFonts w:eastAsia="Calibri"/>
          <w:color w:val="000000" w:themeColor="text1"/>
          <w:sz w:val="24"/>
          <w:szCs w:val="24"/>
        </w:rPr>
        <w:t>d</w:t>
      </w:r>
      <w:r w:rsidRPr="007308F3">
        <w:rPr>
          <w:rFonts w:eastAsia="Calibri"/>
          <w:color w:val="000000" w:themeColor="text1"/>
          <w:sz w:val="24"/>
          <w:szCs w:val="24"/>
        </w:rPr>
        <w:t xml:space="preserve">o Sudoeste Da Bahia – </w:t>
      </w:r>
      <w:r w:rsidR="00683DE9" w:rsidRPr="007308F3">
        <w:rPr>
          <w:rFonts w:eastAsia="Calibri"/>
          <w:color w:val="000000" w:themeColor="text1"/>
          <w:sz w:val="24"/>
          <w:szCs w:val="24"/>
        </w:rPr>
        <w:t>UESB</w:t>
      </w:r>
    </w:p>
    <w:p w14:paraId="24D6DFE3" w14:textId="58BD8BDE" w:rsidR="00AA0CA3" w:rsidRDefault="007308F3" w:rsidP="00870DDD">
      <w:pPr>
        <w:spacing w:after="160" w:line="259" w:lineRule="auto"/>
        <w:ind w:right="11"/>
        <w:jc w:val="right"/>
      </w:pPr>
      <w:hyperlink r:id="rId8" w:history="1">
        <w:r w:rsidRPr="007308F3">
          <w:rPr>
            <w:rStyle w:val="Hyperlink"/>
            <w:sz w:val="24"/>
            <w:szCs w:val="24"/>
            <w:shd w:val="clear" w:color="auto" w:fill="FFFFFF"/>
          </w:rPr>
          <w:t>ana.luiza@uesb.edu.br</w:t>
        </w:r>
      </w:hyperlink>
    </w:p>
    <w:p w14:paraId="594CB93E" w14:textId="09334E6F" w:rsidR="00EC4CCF" w:rsidRPr="00EC4CCF" w:rsidRDefault="00EC4CCF" w:rsidP="00EC4CCF">
      <w:pPr>
        <w:spacing w:after="160" w:line="259" w:lineRule="auto"/>
        <w:ind w:right="11"/>
        <w:jc w:val="right"/>
        <w:rPr>
          <w:rFonts w:eastAsia="Calibri"/>
          <w:color w:val="000000" w:themeColor="text1"/>
          <w:sz w:val="24"/>
          <w:szCs w:val="24"/>
          <w:vertAlign w:val="superscript"/>
        </w:rPr>
      </w:pPr>
      <w:r w:rsidRPr="00EC4CCF">
        <w:rPr>
          <w:rFonts w:eastAsia="Calibri"/>
          <w:color w:val="000000" w:themeColor="text1"/>
          <w:sz w:val="24"/>
          <w:szCs w:val="24"/>
        </w:rPr>
        <w:t>Aldemiro Manuel João Eliseu</w:t>
      </w:r>
    </w:p>
    <w:p w14:paraId="6F6B6340" w14:textId="77777777" w:rsidR="00EC4CCF" w:rsidRPr="00EC4CCF" w:rsidRDefault="00EC4CCF" w:rsidP="00EC4CCF">
      <w:pPr>
        <w:spacing w:after="160" w:line="259" w:lineRule="auto"/>
        <w:ind w:right="11"/>
        <w:jc w:val="right"/>
        <w:rPr>
          <w:rFonts w:eastAsia="Calibri" w:cs="Calibri"/>
          <w:bCs/>
          <w:color w:val="000000" w:themeColor="text1"/>
          <w:sz w:val="24"/>
        </w:rPr>
      </w:pPr>
      <w:r w:rsidRPr="00EC4CCF">
        <w:rPr>
          <w:rFonts w:eastAsia="Calibri" w:cs="Calibri"/>
          <w:bCs/>
          <w:color w:val="000000" w:themeColor="text1"/>
          <w:sz w:val="24"/>
        </w:rPr>
        <w:t>Universidade Estadual do Sudoeste da Bahia - UESB</w:t>
      </w:r>
    </w:p>
    <w:p w14:paraId="6CD5989D" w14:textId="0D49ACAD" w:rsidR="00EC4CCF" w:rsidRDefault="0090384F" w:rsidP="00870DDD">
      <w:pPr>
        <w:spacing w:after="160" w:line="259" w:lineRule="auto"/>
        <w:ind w:right="11"/>
        <w:jc w:val="right"/>
        <w:rPr>
          <w:rFonts w:eastAsia="Calibri"/>
          <w:color w:val="000000" w:themeColor="text1"/>
          <w:sz w:val="24"/>
          <w:szCs w:val="24"/>
        </w:rPr>
      </w:pPr>
      <w:hyperlink r:id="rId9" w:history="1">
        <w:r w:rsidRPr="005A3720">
          <w:rPr>
            <w:rStyle w:val="Hyperlink"/>
            <w:sz w:val="24"/>
            <w:szCs w:val="24"/>
          </w:rPr>
          <w:t>aldemiro1810@gmail.com</w:t>
        </w:r>
      </w:hyperlink>
      <w:r>
        <w:rPr>
          <w:sz w:val="24"/>
          <w:szCs w:val="24"/>
        </w:rPr>
        <w:t xml:space="preserve"> </w:t>
      </w:r>
    </w:p>
    <w:p w14:paraId="285A8CD4" w14:textId="77777777" w:rsidR="00870DDD" w:rsidRPr="00870DDD" w:rsidRDefault="00870DDD" w:rsidP="00870DDD">
      <w:pPr>
        <w:spacing w:after="160" w:line="259" w:lineRule="auto"/>
        <w:ind w:right="11"/>
        <w:jc w:val="right"/>
        <w:rPr>
          <w:rFonts w:eastAsia="Calibri"/>
          <w:color w:val="000000" w:themeColor="text1"/>
          <w:sz w:val="24"/>
          <w:szCs w:val="24"/>
        </w:rPr>
      </w:pPr>
    </w:p>
    <w:p w14:paraId="77581A5C" w14:textId="77777777" w:rsidR="00D41B1F" w:rsidRPr="008A4FF4" w:rsidRDefault="00D41B1F" w:rsidP="00D41B1F">
      <w:pPr>
        <w:pStyle w:val="SemEspaamento"/>
        <w:spacing w:line="360" w:lineRule="auto"/>
        <w:ind w:firstLine="709"/>
        <w:jc w:val="both"/>
        <w:rPr>
          <w:rFonts w:ascii="Arial" w:hAnsi="Arial" w:cs="Arial"/>
        </w:rPr>
      </w:pPr>
      <w:r w:rsidRPr="008A4FF4">
        <w:rPr>
          <w:rFonts w:ascii="Arial" w:hAnsi="Arial" w:cs="Arial"/>
        </w:rPr>
        <w:t xml:space="preserve">INTRODUÇÃO </w:t>
      </w:r>
    </w:p>
    <w:p w14:paraId="59BD9DA5" w14:textId="77777777" w:rsidR="00870DDD" w:rsidRPr="00582299" w:rsidRDefault="00870DDD" w:rsidP="00870DDD">
      <w:pPr>
        <w:spacing w:line="360" w:lineRule="auto"/>
        <w:ind w:firstLine="709"/>
        <w:jc w:val="both"/>
        <w:rPr>
          <w:sz w:val="24"/>
          <w:szCs w:val="24"/>
        </w:rPr>
      </w:pPr>
      <w:r w:rsidRPr="00582299">
        <w:rPr>
          <w:sz w:val="24"/>
          <w:szCs w:val="24"/>
        </w:rPr>
        <w:t xml:space="preserve">As investigações contemporâneas nos campos da educação e do currículo têm provocado fissuras na visão tradicional de que os processos formativos se restringem apenas aos espaços escolares formais. Compreende-se, cada vez mais, que diferentes experiências culturais atuam como instâncias produtoras de saberes, subjetividades e processos de pertença (OLIVEIRA, 2017; CRUSOÉ, 2025). Esse deslocamento não é meramente teórico, mas profundamente político, assumindo contornos fundamentais quando articulado às epistemologias feministas negras, que tensionam e rasuram as estruturas coloniais e </w:t>
      </w:r>
      <w:proofErr w:type="spellStart"/>
      <w:r w:rsidRPr="00582299">
        <w:rPr>
          <w:sz w:val="24"/>
          <w:szCs w:val="24"/>
        </w:rPr>
        <w:t>cis-heteropatriarcais</w:t>
      </w:r>
      <w:proofErr w:type="spellEnd"/>
      <w:r w:rsidRPr="00582299">
        <w:rPr>
          <w:sz w:val="24"/>
          <w:szCs w:val="24"/>
        </w:rPr>
        <w:t xml:space="preserve"> responsáveis por definir, historicamente, quem possui autoridade para produzir e validar conhecimentos.</w:t>
      </w:r>
    </w:p>
    <w:p w14:paraId="5A55ABFD" w14:textId="5F31BC5E" w:rsidR="00870DDD" w:rsidRPr="00582299" w:rsidRDefault="00870DDD" w:rsidP="00870DDD">
      <w:pPr>
        <w:spacing w:line="360" w:lineRule="auto"/>
        <w:ind w:firstLine="709"/>
        <w:jc w:val="both"/>
        <w:rPr>
          <w:sz w:val="24"/>
          <w:szCs w:val="24"/>
        </w:rPr>
      </w:pPr>
      <w:r w:rsidRPr="00582299">
        <w:rPr>
          <w:sz w:val="24"/>
          <w:szCs w:val="24"/>
        </w:rPr>
        <w:t>A curadoria de autores e temáticas funciona como um dispositivo político que determina quais narrativas, existências e oralituras são legitimadas no espaço público, operando diretamente na reorganização dos regimes de visibilidade e na produção de novos sentidos sobre as diferenças.</w:t>
      </w:r>
    </w:p>
    <w:p w14:paraId="23B3FC14" w14:textId="5B581A28" w:rsidR="00870DDD" w:rsidRPr="00582299" w:rsidRDefault="00870DDD" w:rsidP="00870DDD">
      <w:pPr>
        <w:spacing w:line="360" w:lineRule="auto"/>
        <w:ind w:firstLine="709"/>
        <w:jc w:val="both"/>
        <w:rPr>
          <w:sz w:val="24"/>
          <w:szCs w:val="24"/>
        </w:rPr>
      </w:pPr>
      <w:r w:rsidRPr="00582299">
        <w:rPr>
          <w:sz w:val="24"/>
          <w:szCs w:val="24"/>
        </w:rPr>
        <w:t xml:space="preserve">A partir dessa perspectiva, a Feira Literária e Gastronômica de Belo Campo (FLIGBELÔ), no sudoeste baiano, firmou-se entre 2022 e 2024 como um território </w:t>
      </w:r>
      <w:r w:rsidRPr="00582299">
        <w:rPr>
          <w:sz w:val="24"/>
          <w:szCs w:val="24"/>
        </w:rPr>
        <w:lastRenderedPageBreak/>
        <w:t xml:space="preserve">político-pedagógico essencial para a materialização de experiências educativas antirracistas no âmbito </w:t>
      </w:r>
      <w:r w:rsidR="00B9163F">
        <w:rPr>
          <w:sz w:val="24"/>
          <w:szCs w:val="24"/>
        </w:rPr>
        <w:t>educacional</w:t>
      </w:r>
      <w:r w:rsidRPr="00582299">
        <w:rPr>
          <w:sz w:val="24"/>
          <w:szCs w:val="24"/>
        </w:rPr>
        <w:t xml:space="preserve">. Tal compreensão, fundamentada nas epistemologias feministas negras, transmuta a praça pública em um dispositivo pedagógico insurgente, reivindicando a literatura e a cultura não apenas como fruição, mas como ferramentas de emancipação e de construção de pedagogias de reexistência de caráter </w:t>
      </w:r>
      <w:proofErr w:type="spellStart"/>
      <w:r w:rsidRPr="00582299">
        <w:rPr>
          <w:sz w:val="24"/>
          <w:szCs w:val="24"/>
        </w:rPr>
        <w:t>contra-hegemônico</w:t>
      </w:r>
      <w:proofErr w:type="spellEnd"/>
    </w:p>
    <w:p w14:paraId="3777DD33" w14:textId="6BE493C1" w:rsidR="00F21948" w:rsidRPr="00EA1F5D" w:rsidRDefault="00F21806" w:rsidP="00F2180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870DDD" w:rsidRPr="00EA1F5D">
        <w:rPr>
          <w:sz w:val="24"/>
          <w:szCs w:val="24"/>
        </w:rPr>
        <w:t xml:space="preserve"> trabalho dedica-se a analisar a constituição da FLIGBELÔ enquanto território curricular e campo de disputa epistemológica. O objetivo central é compreender de que maneira essa iniciativa assegura a validação e a circulação de saberes que, historicamente, foram mantidos à margem dos processos oficiais de formação humana no interior da Bahia. Ao reconhecer as experiências culturais como instâncias legítimas de produção de conhecimento, o evento atua na rasura de estruturas coloniais, permitindo que</w:t>
      </w:r>
      <w:r w:rsidR="00AA3A71">
        <w:rPr>
          <w:sz w:val="24"/>
          <w:szCs w:val="24"/>
        </w:rPr>
        <w:t xml:space="preserve"> outras</w:t>
      </w:r>
      <w:r w:rsidR="00870DDD" w:rsidRPr="00EA1F5D">
        <w:rPr>
          <w:sz w:val="24"/>
          <w:szCs w:val="24"/>
        </w:rPr>
        <w:t xml:space="preserve"> narrativas passem a estruturar o currículo vivo da cidade</w:t>
      </w:r>
    </w:p>
    <w:p w14:paraId="32B124AB" w14:textId="77777777" w:rsidR="00870DDD" w:rsidRPr="00584056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</w:rPr>
      </w:pPr>
      <w:r w:rsidRPr="00584056">
        <w:rPr>
          <w:rFonts w:ascii="Arial" w:hAnsi="Arial" w:cs="Arial"/>
        </w:rPr>
        <w:t>REFERENCIAL TEÓRICO-METODOLÓGICO</w:t>
      </w:r>
    </w:p>
    <w:p w14:paraId="50D88DE2" w14:textId="42138372" w:rsidR="00870DDD" w:rsidRPr="00584056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584056">
        <w:rPr>
          <w:rFonts w:ascii="Arial" w:hAnsi="Arial" w:cs="Arial"/>
          <w:b w:val="0"/>
          <w:bCs w:val="0"/>
        </w:rPr>
        <w:t xml:space="preserve">A fundamentação teórica do estudo ancora-se nas epistemologias de mulheres negras (Gonzalez, 2020; </w:t>
      </w:r>
      <w:proofErr w:type="spellStart"/>
      <w:r w:rsidRPr="00584056">
        <w:rPr>
          <w:rFonts w:ascii="Arial" w:hAnsi="Arial" w:cs="Arial"/>
          <w:b w:val="0"/>
          <w:bCs w:val="0"/>
        </w:rPr>
        <w:t>Kilomba</w:t>
      </w:r>
      <w:proofErr w:type="spellEnd"/>
      <w:r w:rsidRPr="00584056">
        <w:rPr>
          <w:rFonts w:ascii="Arial" w:hAnsi="Arial" w:cs="Arial"/>
          <w:b w:val="0"/>
          <w:bCs w:val="0"/>
        </w:rPr>
        <w:t xml:space="preserve">, 2019) e nas discussões sobre currículo e diferença, utilizando-se das reflexões de Grada </w:t>
      </w:r>
      <w:proofErr w:type="spellStart"/>
      <w:r w:rsidRPr="00584056">
        <w:rPr>
          <w:rFonts w:ascii="Arial" w:hAnsi="Arial" w:cs="Arial"/>
          <w:b w:val="0"/>
          <w:bCs w:val="0"/>
        </w:rPr>
        <w:t>Kilomba</w:t>
      </w:r>
      <w:proofErr w:type="spellEnd"/>
      <w:r w:rsidRPr="00584056">
        <w:rPr>
          <w:rFonts w:ascii="Arial" w:hAnsi="Arial" w:cs="Arial"/>
          <w:b w:val="0"/>
          <w:bCs w:val="0"/>
        </w:rPr>
        <w:t xml:space="preserve"> (2019) acerca do racismo cotidiano e da construção de corpos negros como "fora do lugar" para discutir o pertencimento e a produção de conhecimento. Dialoga-se, ademais, com Tomaz Tadeu da Silva (1999), que compreende o currículo como um artefato cultural e político não neutro, bem como com </w:t>
      </w:r>
      <w:proofErr w:type="spellStart"/>
      <w:r w:rsidRPr="00584056">
        <w:rPr>
          <w:rFonts w:ascii="Arial" w:hAnsi="Arial" w:cs="Arial"/>
          <w:b w:val="0"/>
          <w:bCs w:val="0"/>
        </w:rPr>
        <w:t>Irís</w:t>
      </w:r>
      <w:proofErr w:type="spellEnd"/>
      <w:r w:rsidRPr="00584056">
        <w:rPr>
          <w:rFonts w:ascii="Arial" w:hAnsi="Arial" w:cs="Arial"/>
          <w:b w:val="0"/>
          <w:bCs w:val="0"/>
        </w:rPr>
        <w:t xml:space="preserve"> Verena Oliveira (2017)</w:t>
      </w:r>
      <w:r>
        <w:rPr>
          <w:rFonts w:ascii="Arial" w:hAnsi="Arial" w:cs="Arial"/>
          <w:b w:val="0"/>
          <w:bCs w:val="0"/>
        </w:rPr>
        <w:t xml:space="preserve"> e Gonzalez (2020)</w:t>
      </w:r>
      <w:r w:rsidRPr="00584056">
        <w:rPr>
          <w:rFonts w:ascii="Arial" w:hAnsi="Arial" w:cs="Arial"/>
          <w:b w:val="0"/>
          <w:bCs w:val="0"/>
        </w:rPr>
        <w:t>, que problematiza a necessidade de práticas curriculares capazes de superar abordagens folclóricas sobre as relações étnico-raciais, ao passo que as discussões de Nilma Crusoé (2025) sobre práticas educativas não escolares complementam tal base teórica.</w:t>
      </w:r>
    </w:p>
    <w:p w14:paraId="1EC8082C" w14:textId="5F9D921F" w:rsidR="00870DDD" w:rsidRPr="00584056" w:rsidRDefault="004A3478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 xml:space="preserve">O estudo </w:t>
      </w:r>
      <w:r w:rsidR="00870DDD" w:rsidRPr="00584056">
        <w:rPr>
          <w:rFonts w:ascii="Arial" w:hAnsi="Arial" w:cs="Arial"/>
          <w:b w:val="0"/>
          <w:bCs w:val="0"/>
        </w:rPr>
        <w:t>fundamenta-se no exame das programações oficiais da FLIGBELÔ</w:t>
      </w:r>
      <w:r w:rsidR="00870DDD">
        <w:rPr>
          <w:rFonts w:ascii="Arial" w:hAnsi="Arial" w:cs="Arial"/>
          <w:b w:val="0"/>
          <w:bCs w:val="0"/>
        </w:rPr>
        <w:t xml:space="preserve"> </w:t>
      </w:r>
      <w:r w:rsidR="00870DDD" w:rsidRPr="00584056">
        <w:rPr>
          <w:rFonts w:ascii="Arial" w:hAnsi="Arial" w:cs="Arial"/>
          <w:b w:val="0"/>
          <w:bCs w:val="0"/>
        </w:rPr>
        <w:t>eferentes ao período de 2022 a 2024, compreendendo as fontes documentais para além de registros neutros ou puramente descritivos, de modo que os documentos se configuram como produções discursivas atravessadas por relações de poder, escolhas curriculares e disputas narrativas</w:t>
      </w:r>
      <w:r w:rsidR="00AA3A71">
        <w:rPr>
          <w:rFonts w:ascii="Arial" w:hAnsi="Arial" w:cs="Arial"/>
          <w:b w:val="0"/>
          <w:bCs w:val="0"/>
        </w:rPr>
        <w:t xml:space="preserve"> (Oliveira, 2017)</w:t>
      </w:r>
      <w:r w:rsidR="00870DDD" w:rsidRPr="00584056">
        <w:rPr>
          <w:rFonts w:ascii="Arial" w:hAnsi="Arial" w:cs="Arial"/>
          <w:b w:val="0"/>
          <w:bCs w:val="0"/>
        </w:rPr>
        <w:t xml:space="preserve">. Desse modo, o corpus da pesquisa abrange materiais institucionais e conteúdos divulgados nas plataformas digitais da FLIGBELÔ, da Secretaria Municipal de Educação e da Prefeitura Municipal </w:t>
      </w:r>
      <w:r w:rsidR="00870DDD" w:rsidRPr="00584056">
        <w:rPr>
          <w:rFonts w:ascii="Arial" w:hAnsi="Arial" w:cs="Arial"/>
          <w:b w:val="0"/>
          <w:bCs w:val="0"/>
        </w:rPr>
        <w:lastRenderedPageBreak/>
        <w:t>de Belo Campo</w:t>
      </w:r>
      <w:r w:rsidR="00870DDD">
        <w:rPr>
          <w:rFonts w:ascii="Arial" w:hAnsi="Arial" w:cs="Arial"/>
          <w:b w:val="0"/>
          <w:bCs w:val="0"/>
        </w:rPr>
        <w:t xml:space="preserve">, </w:t>
      </w:r>
      <w:r w:rsidR="00870DDD" w:rsidRPr="00584056">
        <w:rPr>
          <w:rFonts w:ascii="Arial" w:hAnsi="Arial" w:cs="Arial"/>
          <w:b w:val="0"/>
          <w:bCs w:val="0"/>
        </w:rPr>
        <w:t xml:space="preserve"> compreendendo o site oficial, o perfil no Instagram e o canal no YouTube, de sorte que o escopo documental inclui cards de divulgação, postagens institucionais, as programações oficiais das três edições do evento e propostas pedagógicas concebidas para a feira, a exemplo de mesas temáticas, oficinas, stands e demais intervenções educativas e culturais que são apreendidas sob um viés interpretativo para evidenciar diretrizes curriculares, a legitimação de sujeitos e as tensões subjacentes à arquitetura político-pedagógica.</w:t>
      </w:r>
    </w:p>
    <w:p w14:paraId="7AEE3721" w14:textId="77777777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</w:rPr>
      </w:pPr>
      <w:r w:rsidRPr="008A4FF4">
        <w:rPr>
          <w:rFonts w:ascii="Arial" w:hAnsi="Arial" w:cs="Arial"/>
        </w:rPr>
        <w:t xml:space="preserve">ANÁLISE </w:t>
      </w:r>
    </w:p>
    <w:p w14:paraId="1FC5E134" w14:textId="77777777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>O percurso analítico das três primeiras edições da</w:t>
      </w:r>
      <w:r>
        <w:rPr>
          <w:rFonts w:ascii="Arial" w:hAnsi="Arial" w:cs="Arial"/>
          <w:b w:val="0"/>
          <w:bCs w:val="0"/>
        </w:rPr>
        <w:t xml:space="preserve"> Feira</w:t>
      </w:r>
      <w:r w:rsidRPr="008A4FF4">
        <w:rPr>
          <w:rFonts w:ascii="Arial" w:hAnsi="Arial" w:cs="Arial"/>
          <w:b w:val="0"/>
          <w:bCs w:val="0"/>
        </w:rPr>
        <w:t xml:space="preserve">, compreendidas entre 2022 e 2024, nos ajuda a pensar como o evento tenciona e redesenha as fronteiras do currículo </w:t>
      </w:r>
      <w:r>
        <w:rPr>
          <w:rFonts w:ascii="Arial" w:hAnsi="Arial" w:cs="Arial"/>
          <w:b w:val="0"/>
          <w:bCs w:val="0"/>
        </w:rPr>
        <w:t>em Belo Campo-Ba</w:t>
      </w:r>
      <w:r w:rsidRPr="008A4FF4">
        <w:rPr>
          <w:rFonts w:ascii="Arial" w:hAnsi="Arial" w:cs="Arial"/>
          <w:b w:val="0"/>
          <w:bCs w:val="0"/>
        </w:rPr>
        <w:t xml:space="preserve">. Mais do que cumprir a agenda tradicional de incentivo à leitura, a feira vai se estruturando, edição após edição, como um terreno profícuo de disputas epistemológicas e de práticas educativas </w:t>
      </w:r>
      <w:proofErr w:type="spellStart"/>
      <w:r w:rsidRPr="008A4FF4">
        <w:rPr>
          <w:rFonts w:ascii="Arial" w:hAnsi="Arial" w:cs="Arial"/>
          <w:b w:val="0"/>
          <w:bCs w:val="0"/>
        </w:rPr>
        <w:t>contra-hegemônicas</w:t>
      </w:r>
      <w:proofErr w:type="spellEnd"/>
      <w:r w:rsidRPr="008A4FF4">
        <w:rPr>
          <w:rFonts w:ascii="Arial" w:hAnsi="Arial" w:cs="Arial"/>
          <w:b w:val="0"/>
          <w:bCs w:val="0"/>
        </w:rPr>
        <w:t>, incidindo diretamente sobre o que o município decide visibilizar em termos de sujeitos, saberes e experiências.</w:t>
      </w:r>
    </w:p>
    <w:p w14:paraId="055D573E" w14:textId="77777777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>A praça pública sai do lugar comum de mero espaço de passagem urbana e ganha uma espessura pedagógica pulsante. É ali que a formação coletiva acontece na bofetada da troca viva, onde literatura, oralidade, música, dança, corporeidade, memória, ancestralidade e gastronomia disputam o centro da cena e dos processos educativos.</w:t>
      </w:r>
    </w:p>
    <w:p w14:paraId="68E8A6B5" w14:textId="75A3359A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 xml:space="preserve">Isso desconstrói aquela ideia </w:t>
      </w:r>
      <w:r>
        <w:rPr>
          <w:rFonts w:ascii="Arial" w:hAnsi="Arial" w:cs="Arial"/>
          <w:b w:val="0"/>
          <w:bCs w:val="0"/>
        </w:rPr>
        <w:t>errônea</w:t>
      </w:r>
      <w:r w:rsidRPr="008A4FF4">
        <w:rPr>
          <w:rFonts w:ascii="Arial" w:hAnsi="Arial" w:cs="Arial"/>
          <w:b w:val="0"/>
          <w:bCs w:val="0"/>
        </w:rPr>
        <w:t xml:space="preserve"> de que feira literária serve apenas para "promover a leitura" nos moldes mais burocráticos. O que os documentos mostram é um alargamento curricular potente, que valida as territorialidades e o saber comunitário. A curadoria de oficinas, mesas e vivências ancoradas na cultura popular, nas africanidades, nas vivências sertanejas e nas epistemologias indígenas escancara uma farsa nas políticas culturais de viés puramente eurocêntrico ou tradicional.</w:t>
      </w:r>
    </w:p>
    <w:p w14:paraId="40506F01" w14:textId="77777777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 xml:space="preserve">Essa guinada tem voz e tom próprios na escolha dos eixos temáticos. Quando a feira avança de “Ler para Existir” (2022) para “Nordeste: literatura e gastronomia em territórios de lutas e resistências” (2023) e desemboca nas formulações </w:t>
      </w:r>
      <w:proofErr w:type="spellStart"/>
      <w:r w:rsidRPr="008A4FF4">
        <w:rPr>
          <w:rFonts w:ascii="Arial" w:hAnsi="Arial" w:cs="Arial"/>
          <w:b w:val="0"/>
          <w:bCs w:val="0"/>
        </w:rPr>
        <w:t>pluriepistêmicas</w:t>
      </w:r>
      <w:proofErr w:type="spellEnd"/>
      <w:r w:rsidRPr="008A4FF4">
        <w:rPr>
          <w:rFonts w:ascii="Arial" w:hAnsi="Arial" w:cs="Arial"/>
          <w:b w:val="0"/>
          <w:bCs w:val="0"/>
        </w:rPr>
        <w:t xml:space="preserve"> de 2024, fica evidente que o ato de ler deixa de ser uma abstração </w:t>
      </w:r>
      <w:r w:rsidRPr="008A4FF4">
        <w:rPr>
          <w:rFonts w:ascii="Arial" w:hAnsi="Arial" w:cs="Arial"/>
          <w:b w:val="0"/>
          <w:bCs w:val="0"/>
        </w:rPr>
        <w:lastRenderedPageBreak/>
        <w:t>pedagógica para se atar à carne, à dignidade, ao pertencimento e à luta territorial no interior da Bahia.</w:t>
      </w:r>
    </w:p>
    <w:p w14:paraId="68BF5FDD" w14:textId="3794F520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 xml:space="preserve">A escolha de quem ocupa a vitrine da programação também denuncia escolhas políticas muito </w:t>
      </w:r>
      <w:r>
        <w:rPr>
          <w:rFonts w:ascii="Arial" w:hAnsi="Arial" w:cs="Arial"/>
          <w:b w:val="0"/>
          <w:bCs w:val="0"/>
        </w:rPr>
        <w:t>evidente</w:t>
      </w:r>
      <w:r w:rsidRPr="008A4FF4">
        <w:rPr>
          <w:rFonts w:ascii="Arial" w:hAnsi="Arial" w:cs="Arial"/>
          <w:b w:val="0"/>
          <w:bCs w:val="0"/>
        </w:rPr>
        <w:t>. Abrir a feira homenageando Carolina Maria de Jesus em 2022</w:t>
      </w:r>
      <w:r>
        <w:rPr>
          <w:rFonts w:ascii="Arial" w:hAnsi="Arial" w:cs="Arial"/>
          <w:b w:val="0"/>
          <w:bCs w:val="0"/>
        </w:rPr>
        <w:t xml:space="preserve">, juntamente na escolha da intelectual negra baiana </w:t>
      </w:r>
      <w:proofErr w:type="spellStart"/>
      <w:r>
        <w:rPr>
          <w:rFonts w:ascii="Arial" w:hAnsi="Arial" w:cs="Arial"/>
          <w:b w:val="0"/>
          <w:bCs w:val="0"/>
        </w:rPr>
        <w:t>Profª</w:t>
      </w:r>
      <w:proofErr w:type="spellEnd"/>
      <w:r>
        <w:rPr>
          <w:rFonts w:ascii="Arial" w:hAnsi="Arial" w:cs="Arial"/>
          <w:b w:val="0"/>
          <w:bCs w:val="0"/>
        </w:rPr>
        <w:t xml:space="preserve">. Dra. Livia Natalia como conferencista de abertura em 2022, bem como, Dayse Sacramento na edição de 2023, </w:t>
      </w:r>
      <w:r w:rsidRPr="008A4FF4">
        <w:rPr>
          <w:rFonts w:ascii="Arial" w:hAnsi="Arial" w:cs="Arial"/>
          <w:b w:val="0"/>
          <w:bCs w:val="0"/>
        </w:rPr>
        <w:t xml:space="preserve">já foi um abalo sísmico nos cânones acadêmicos e escolares que insistiam em marginalizar </w:t>
      </w:r>
      <w:r>
        <w:rPr>
          <w:rFonts w:ascii="Arial" w:hAnsi="Arial" w:cs="Arial"/>
          <w:b w:val="0"/>
          <w:bCs w:val="0"/>
        </w:rPr>
        <w:t>as</w:t>
      </w:r>
      <w:r w:rsidRPr="008A4FF4">
        <w:rPr>
          <w:rFonts w:ascii="Arial" w:hAnsi="Arial" w:cs="Arial"/>
          <w:b w:val="0"/>
          <w:bCs w:val="0"/>
        </w:rPr>
        <w:t xml:space="preserve"> intelectua</w:t>
      </w:r>
      <w:r>
        <w:rPr>
          <w:rFonts w:ascii="Arial" w:hAnsi="Arial" w:cs="Arial"/>
          <w:b w:val="0"/>
          <w:bCs w:val="0"/>
        </w:rPr>
        <w:t>is</w:t>
      </w:r>
      <w:r w:rsidRPr="008A4FF4">
        <w:rPr>
          <w:rFonts w:ascii="Arial" w:hAnsi="Arial" w:cs="Arial"/>
          <w:b w:val="0"/>
          <w:bCs w:val="0"/>
        </w:rPr>
        <w:t xml:space="preserve"> negra</w:t>
      </w:r>
      <w:r>
        <w:rPr>
          <w:rFonts w:ascii="Arial" w:hAnsi="Arial" w:cs="Arial"/>
          <w:b w:val="0"/>
          <w:bCs w:val="0"/>
        </w:rPr>
        <w:t>s</w:t>
      </w:r>
      <w:r w:rsidRPr="008A4FF4">
        <w:rPr>
          <w:rFonts w:ascii="Arial" w:hAnsi="Arial" w:cs="Arial"/>
          <w:b w:val="0"/>
          <w:bCs w:val="0"/>
        </w:rPr>
        <w:t>. Trazer nomes como Daniel Munduruku na terceira edição, somado à presença constante de mestres populares, artistas da terra, povos de terreiro, parentes indígenas, pessoas LGBTQIAP+, mulheres negras e comunidades tradicionais, reposiciona quem tem o direito legítimo de falar e produzir conhecimento na cidade</w:t>
      </w:r>
      <w:r>
        <w:rPr>
          <w:rFonts w:ascii="Arial" w:hAnsi="Arial" w:cs="Arial"/>
          <w:b w:val="0"/>
          <w:bCs w:val="0"/>
        </w:rPr>
        <w:t xml:space="preserve"> (</w:t>
      </w:r>
      <w:proofErr w:type="spellStart"/>
      <w:r>
        <w:rPr>
          <w:rFonts w:ascii="Arial" w:hAnsi="Arial" w:cs="Arial"/>
          <w:b w:val="0"/>
          <w:bCs w:val="0"/>
        </w:rPr>
        <w:t>Kilomba</w:t>
      </w:r>
      <w:proofErr w:type="spellEnd"/>
      <w:r>
        <w:rPr>
          <w:rFonts w:ascii="Arial" w:hAnsi="Arial" w:cs="Arial"/>
          <w:b w:val="0"/>
          <w:bCs w:val="0"/>
        </w:rPr>
        <w:t>, 2019; Collins, 2019; Gonzalez, 2020)</w:t>
      </w:r>
      <w:r w:rsidRPr="008A4FF4">
        <w:rPr>
          <w:rFonts w:ascii="Arial" w:hAnsi="Arial" w:cs="Arial"/>
          <w:b w:val="0"/>
          <w:bCs w:val="0"/>
        </w:rPr>
        <w:t>.</w:t>
      </w:r>
    </w:p>
    <w:p w14:paraId="10CD8DB6" w14:textId="3D3FE313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 xml:space="preserve">E essa transformação deságua nas oficinas, que são o coração prático dessa virada curricular. Quando a programação aposta em hip-hop, dança afro, jogos africanos, língua </w:t>
      </w:r>
      <w:proofErr w:type="spellStart"/>
      <w:r w:rsidRPr="008A4FF4">
        <w:rPr>
          <w:rFonts w:ascii="Arial" w:hAnsi="Arial" w:cs="Arial"/>
          <w:b w:val="0"/>
          <w:bCs w:val="0"/>
        </w:rPr>
        <w:t>yorùbá</w:t>
      </w:r>
      <w:proofErr w:type="spellEnd"/>
      <w:r w:rsidRPr="008A4FF4">
        <w:rPr>
          <w:rFonts w:ascii="Arial" w:hAnsi="Arial" w:cs="Arial"/>
          <w:b w:val="0"/>
          <w:bCs w:val="0"/>
        </w:rPr>
        <w:t xml:space="preserve">, abayomi, </w:t>
      </w:r>
      <w:proofErr w:type="spellStart"/>
      <w:r w:rsidRPr="008A4FF4">
        <w:rPr>
          <w:rFonts w:ascii="Arial" w:hAnsi="Arial" w:cs="Arial"/>
          <w:b w:val="0"/>
          <w:bCs w:val="0"/>
        </w:rPr>
        <w:t>geotintas</w:t>
      </w:r>
      <w:proofErr w:type="spellEnd"/>
      <w:r w:rsidRPr="008A4FF4">
        <w:rPr>
          <w:rFonts w:ascii="Arial" w:hAnsi="Arial" w:cs="Arial"/>
          <w:b w:val="0"/>
          <w:bCs w:val="0"/>
        </w:rPr>
        <w:t>, teatro do oprimido e fotografia socioambiental, a feira abandona a</w:t>
      </w:r>
      <w:r>
        <w:rPr>
          <w:rFonts w:ascii="Arial" w:hAnsi="Arial" w:cs="Arial"/>
          <w:b w:val="0"/>
          <w:bCs w:val="0"/>
        </w:rPr>
        <w:t xml:space="preserve"> percepção</w:t>
      </w:r>
      <w:r w:rsidRPr="008A4FF4">
        <w:rPr>
          <w:rFonts w:ascii="Arial" w:hAnsi="Arial" w:cs="Arial"/>
          <w:b w:val="0"/>
          <w:bCs w:val="0"/>
        </w:rPr>
        <w:t xml:space="preserve"> exclusiva da racionalidade escrita e abraça o corpo, a oralidade, o território e a ancestralidade como suportes legítimos de saber. O ápice desse movimento se materializa com a criação do Memorial </w:t>
      </w:r>
      <w:proofErr w:type="spellStart"/>
      <w:r w:rsidRPr="008A4FF4">
        <w:rPr>
          <w:rFonts w:ascii="Arial" w:hAnsi="Arial" w:cs="Arial"/>
          <w:b w:val="0"/>
          <w:bCs w:val="0"/>
        </w:rPr>
        <w:t>Sankofa</w:t>
      </w:r>
      <w:proofErr w:type="spellEnd"/>
      <w:r w:rsidRPr="008A4FF4">
        <w:rPr>
          <w:rFonts w:ascii="Arial" w:hAnsi="Arial" w:cs="Arial"/>
          <w:b w:val="0"/>
          <w:bCs w:val="0"/>
        </w:rPr>
        <w:t xml:space="preserve"> na III FLIGBELÔ, transformando o que antes era tratado como apêndice comemorativo em eixo estruturante da formação.</w:t>
      </w:r>
    </w:p>
    <w:p w14:paraId="38C22C3A" w14:textId="77777777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  <w:b w:val="0"/>
          <w:bCs w:val="0"/>
        </w:rPr>
      </w:pPr>
      <w:r w:rsidRPr="008A4FF4">
        <w:rPr>
          <w:rFonts w:ascii="Arial" w:hAnsi="Arial" w:cs="Arial"/>
          <w:b w:val="0"/>
          <w:bCs w:val="0"/>
        </w:rPr>
        <w:t>Apesar de toda essa densidade insurgente, a FLIGBELÔ não opera num vácuo idílico ou linear. Ela é, ao mesmo tempo, um espaço de disrupção e uma instituição que precisa negociar com as estruturas do Estado. A permanência de marcas da escola tradicional nos lembra que a mudança epistemológica não se faz por passe de mágica ou ruptura total, mas resiste e avança nos vincos, nas fissuras e nos tensionamentos cotidianos.</w:t>
      </w:r>
    </w:p>
    <w:p w14:paraId="0C276DE3" w14:textId="77777777" w:rsidR="00870DDD" w:rsidRPr="008A4FF4" w:rsidRDefault="00870DDD" w:rsidP="00870DDD">
      <w:pPr>
        <w:pStyle w:val="SemEspaamento"/>
        <w:spacing w:line="360" w:lineRule="auto"/>
        <w:ind w:firstLine="709"/>
        <w:jc w:val="both"/>
        <w:rPr>
          <w:rFonts w:ascii="Arial" w:hAnsi="Arial" w:cs="Arial"/>
        </w:rPr>
      </w:pPr>
      <w:r w:rsidRPr="008A4FF4">
        <w:rPr>
          <w:rFonts w:ascii="Arial" w:hAnsi="Arial" w:cs="Arial"/>
        </w:rPr>
        <w:t>CONCLUSÃO</w:t>
      </w:r>
    </w:p>
    <w:p w14:paraId="75B67E12" w14:textId="32AFC661" w:rsidR="00AA0CA3" w:rsidRDefault="00870DDD" w:rsidP="00870DDD">
      <w:pPr>
        <w:spacing w:line="360" w:lineRule="auto"/>
        <w:ind w:firstLine="709"/>
        <w:jc w:val="both"/>
        <w:rPr>
          <w:sz w:val="24"/>
          <w:szCs w:val="24"/>
        </w:rPr>
      </w:pPr>
      <w:r w:rsidRPr="008A4FF4">
        <w:rPr>
          <w:sz w:val="24"/>
          <w:szCs w:val="24"/>
        </w:rPr>
        <w:t xml:space="preserve"> </w:t>
      </w:r>
      <w:r w:rsidRPr="00582299">
        <w:rPr>
          <w:sz w:val="24"/>
          <w:szCs w:val="24"/>
        </w:rPr>
        <w:t xml:space="preserve">Em suma, a FLIGBELÔ afirma-se como um território curricular estratégico, no qual as epistemologias de mulheres negras operam para ressignificar os horizontes da educação e da formação humana no sertão baiano. A trajetória do evento evidencia que o exercício de práticas educativas </w:t>
      </w:r>
      <w:proofErr w:type="spellStart"/>
      <w:r w:rsidRPr="00582299">
        <w:rPr>
          <w:sz w:val="24"/>
          <w:szCs w:val="24"/>
        </w:rPr>
        <w:t>contra-hegemônicas</w:t>
      </w:r>
      <w:proofErr w:type="spellEnd"/>
      <w:r w:rsidRPr="00582299">
        <w:rPr>
          <w:sz w:val="24"/>
          <w:szCs w:val="24"/>
        </w:rPr>
        <w:t xml:space="preserve"> depende, </w:t>
      </w:r>
      <w:r w:rsidRPr="00582299">
        <w:rPr>
          <w:sz w:val="24"/>
          <w:szCs w:val="24"/>
        </w:rPr>
        <w:lastRenderedPageBreak/>
        <w:t>fundamentalmente, da ocupação de espaços de fala por sujeitos diversos, garantindo a validação de saberes que, historicamente, foram mantidos à margem.</w:t>
      </w:r>
    </w:p>
    <w:p w14:paraId="4C8F8459" w14:textId="77777777" w:rsidR="00870DDD" w:rsidRPr="008A4FF4" w:rsidRDefault="00870DDD" w:rsidP="00870DDD">
      <w:pPr>
        <w:spacing w:line="360" w:lineRule="auto"/>
        <w:ind w:firstLine="709"/>
        <w:jc w:val="both"/>
        <w:rPr>
          <w:sz w:val="24"/>
          <w:szCs w:val="24"/>
        </w:rPr>
      </w:pPr>
    </w:p>
    <w:p w14:paraId="750F64F5" w14:textId="77777777" w:rsidR="00AA0CA3" w:rsidRPr="008A4FF4" w:rsidRDefault="00EB6BEF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8A4FF4">
        <w:rPr>
          <w:b/>
          <w:bCs/>
          <w:sz w:val="24"/>
          <w:szCs w:val="24"/>
        </w:rPr>
        <w:t>PALAVRAS-CHAVE</w:t>
      </w:r>
    </w:p>
    <w:p w14:paraId="29FF9B8B" w14:textId="4C41C41D" w:rsidR="00AA0CA3" w:rsidRDefault="004A3478" w:rsidP="002C435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D41B1F" w:rsidRPr="008A4FF4">
        <w:rPr>
          <w:sz w:val="24"/>
          <w:szCs w:val="24"/>
        </w:rPr>
        <w:t xml:space="preserve">ulheres </w:t>
      </w:r>
      <w:r>
        <w:rPr>
          <w:sz w:val="24"/>
          <w:szCs w:val="24"/>
        </w:rPr>
        <w:t>N</w:t>
      </w:r>
      <w:r w:rsidR="00D41B1F" w:rsidRPr="008A4FF4">
        <w:rPr>
          <w:sz w:val="24"/>
          <w:szCs w:val="24"/>
        </w:rPr>
        <w:t>egras; Currículo; FLIGBELÔ; Práticas educativas; Educação antirracista.</w:t>
      </w:r>
    </w:p>
    <w:p w14:paraId="5B9FDB4E" w14:textId="77777777" w:rsidR="00B535BB" w:rsidRPr="002C4356" w:rsidRDefault="00B535BB" w:rsidP="002C435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DFEF47E" w14:textId="77777777" w:rsidR="00AA0CA3" w:rsidRPr="008A4FF4" w:rsidRDefault="00EB6BEF">
      <w:pPr>
        <w:keepLines/>
        <w:widowControl w:val="0"/>
        <w:spacing w:line="240" w:lineRule="auto"/>
        <w:rPr>
          <w:sz w:val="24"/>
          <w:szCs w:val="24"/>
        </w:rPr>
      </w:pPr>
      <w:r w:rsidRPr="008A4FF4">
        <w:rPr>
          <w:b/>
          <w:bCs/>
          <w:sz w:val="24"/>
          <w:szCs w:val="24"/>
        </w:rPr>
        <w:t>REFERÊNCIAS</w:t>
      </w:r>
      <w:r w:rsidRPr="008A4FF4">
        <w:rPr>
          <w:sz w:val="24"/>
          <w:szCs w:val="24"/>
        </w:rPr>
        <w:t xml:space="preserve"> </w:t>
      </w:r>
    </w:p>
    <w:p w14:paraId="23DC9F18" w14:textId="77777777" w:rsidR="00D41B1F" w:rsidRPr="008A4FF4" w:rsidRDefault="00D41B1F" w:rsidP="00D41B1F">
      <w:pPr>
        <w:tabs>
          <w:tab w:val="left" w:pos="2760"/>
        </w:tabs>
        <w:spacing w:line="240" w:lineRule="auto"/>
        <w:jc w:val="both"/>
        <w:rPr>
          <w:rFonts w:eastAsia="Times New Roman"/>
          <w:sz w:val="24"/>
          <w:szCs w:val="24"/>
        </w:rPr>
      </w:pPr>
    </w:p>
    <w:p w14:paraId="633B64C4" w14:textId="057A592B" w:rsidR="00870DDD" w:rsidRDefault="00D41B1F" w:rsidP="00D41B1F">
      <w:pPr>
        <w:spacing w:line="360" w:lineRule="auto"/>
        <w:jc w:val="both"/>
        <w:rPr>
          <w:kern w:val="2"/>
          <w:sz w:val="24"/>
          <w:szCs w:val="24"/>
          <w14:ligatures w14:val="standardContextual"/>
        </w:rPr>
      </w:pPr>
      <w:r w:rsidRPr="008A4FF4">
        <w:rPr>
          <w:kern w:val="2"/>
          <w:sz w:val="24"/>
          <w:szCs w:val="24"/>
          <w14:ligatures w14:val="standardContextual"/>
        </w:rPr>
        <w:t>CRUSOÉ, Nilma Margarida de Castro. Práticas educativas não escolares para outros currículos possíveis. Revista Espaço do Currículo, v. 18, n. 1, e71717, 2025.</w:t>
      </w:r>
    </w:p>
    <w:p w14:paraId="510B70F4" w14:textId="77777777" w:rsidR="00870DDD" w:rsidRPr="008A4FF4" w:rsidRDefault="00870DDD" w:rsidP="00D41B1F">
      <w:pPr>
        <w:spacing w:line="360" w:lineRule="auto"/>
        <w:jc w:val="both"/>
        <w:rPr>
          <w:kern w:val="2"/>
          <w:sz w:val="24"/>
          <w:szCs w:val="24"/>
          <w14:ligatures w14:val="standardContextual"/>
        </w:rPr>
      </w:pPr>
    </w:p>
    <w:p w14:paraId="093C5C4D" w14:textId="77777777" w:rsidR="00D41B1F" w:rsidRDefault="00D41B1F" w:rsidP="00D41B1F">
      <w:pPr>
        <w:spacing w:line="360" w:lineRule="auto"/>
        <w:jc w:val="both"/>
        <w:rPr>
          <w:kern w:val="2"/>
          <w:sz w:val="24"/>
          <w:szCs w:val="24"/>
          <w14:ligatures w14:val="standardContextual"/>
        </w:rPr>
      </w:pPr>
      <w:r w:rsidRPr="008A4FF4">
        <w:rPr>
          <w:kern w:val="2"/>
          <w:sz w:val="24"/>
          <w:szCs w:val="24"/>
          <w14:ligatures w14:val="standardContextual"/>
        </w:rPr>
        <w:t>KILOMBA, Grada. Memórias da plantação: episódios de racismo cotidiano. Tradução de Jess Oliveira. Rio de Janeiro: Cobogó, 2019.</w:t>
      </w:r>
    </w:p>
    <w:p w14:paraId="2178154F" w14:textId="77777777" w:rsidR="00870DDD" w:rsidRPr="008A4FF4" w:rsidRDefault="00870DDD" w:rsidP="00D41B1F">
      <w:pPr>
        <w:spacing w:line="360" w:lineRule="auto"/>
        <w:jc w:val="both"/>
        <w:rPr>
          <w:kern w:val="2"/>
          <w:sz w:val="24"/>
          <w:szCs w:val="24"/>
          <w14:ligatures w14:val="standardContextual"/>
        </w:rPr>
      </w:pPr>
    </w:p>
    <w:p w14:paraId="6A5B0D80" w14:textId="65D17390" w:rsidR="00870DDD" w:rsidRDefault="00D41B1F" w:rsidP="00D41B1F">
      <w:pPr>
        <w:spacing w:after="160" w:line="360" w:lineRule="auto"/>
        <w:jc w:val="both"/>
        <w:rPr>
          <w:rFonts w:eastAsia="Times New Roman"/>
          <w:sz w:val="24"/>
          <w:szCs w:val="24"/>
        </w:rPr>
      </w:pPr>
      <w:r w:rsidRPr="008A4FF4">
        <w:rPr>
          <w:rFonts w:eastAsia="Times New Roman"/>
          <w:sz w:val="24"/>
          <w:szCs w:val="24"/>
        </w:rPr>
        <w:t xml:space="preserve"> GONZALEZ, Lélia. </w:t>
      </w:r>
      <w:r w:rsidRPr="008A4FF4">
        <w:rPr>
          <w:rFonts w:eastAsia="Times New Roman"/>
          <w:i/>
          <w:iCs/>
          <w:sz w:val="24"/>
          <w:szCs w:val="24"/>
        </w:rPr>
        <w:t>Por um feminismo afro-latino-americano: ensaios, intervenções e            diálogos</w:t>
      </w:r>
      <w:r w:rsidRPr="008A4FF4">
        <w:rPr>
          <w:rFonts w:eastAsia="Times New Roman"/>
          <w:sz w:val="24"/>
          <w:szCs w:val="24"/>
        </w:rPr>
        <w:t>. Organização de Flavia Rios e Márcia Lima. Rio de Janeiro: Zahar, 2020.</w:t>
      </w:r>
    </w:p>
    <w:p w14:paraId="77AC9803" w14:textId="77777777" w:rsidR="00F21948" w:rsidRPr="00870DDD" w:rsidRDefault="00F21948" w:rsidP="00D41B1F">
      <w:pPr>
        <w:spacing w:after="160" w:line="360" w:lineRule="auto"/>
        <w:jc w:val="both"/>
        <w:rPr>
          <w:rFonts w:eastAsia="Times New Roman"/>
          <w:sz w:val="24"/>
          <w:szCs w:val="24"/>
        </w:rPr>
      </w:pPr>
    </w:p>
    <w:p w14:paraId="0027F401" w14:textId="77777777" w:rsidR="00D41B1F" w:rsidRDefault="00D41B1F" w:rsidP="00D41B1F">
      <w:pPr>
        <w:spacing w:line="360" w:lineRule="auto"/>
        <w:jc w:val="both"/>
        <w:rPr>
          <w:kern w:val="2"/>
          <w:sz w:val="24"/>
          <w:szCs w:val="24"/>
          <w14:ligatures w14:val="standardContextual"/>
        </w:rPr>
      </w:pPr>
      <w:r w:rsidRPr="008A4FF4">
        <w:rPr>
          <w:kern w:val="2"/>
          <w:sz w:val="24"/>
          <w:szCs w:val="24"/>
          <w14:ligatures w14:val="standardContextual"/>
        </w:rPr>
        <w:t>OLIVEIRA, I. V. “ISSO É BATOM PARA VIR À ESCOLA?” DISPUTAS ESTÉTICO-METODOLÓGICAS NOS PÁTIOS DO CURRÍCULO. Revista E-Curriculum, v. 17, n. 4, p. 1523–1544, 2019.</w:t>
      </w:r>
    </w:p>
    <w:p w14:paraId="37298B81" w14:textId="77777777" w:rsidR="00870DDD" w:rsidRPr="008A4FF4" w:rsidRDefault="00870DDD" w:rsidP="00D41B1F">
      <w:pPr>
        <w:spacing w:line="360" w:lineRule="auto"/>
        <w:jc w:val="both"/>
        <w:rPr>
          <w:kern w:val="2"/>
          <w:sz w:val="24"/>
          <w:szCs w:val="24"/>
          <w14:ligatures w14:val="standardContextual"/>
        </w:rPr>
      </w:pPr>
    </w:p>
    <w:p w14:paraId="62C8665A" w14:textId="77C3D55C" w:rsidR="00AA0CA3" w:rsidRPr="007627F3" w:rsidRDefault="00D41B1F" w:rsidP="007627F3">
      <w:pPr>
        <w:spacing w:line="360" w:lineRule="auto"/>
        <w:jc w:val="both"/>
        <w:rPr>
          <w:color w:val="303030"/>
          <w:kern w:val="2"/>
          <w:sz w:val="24"/>
          <w:szCs w:val="24"/>
          <w:shd w:val="clear" w:color="auto" w:fill="FFFFFF"/>
          <w14:ligatures w14:val="standardContextual"/>
        </w:rPr>
      </w:pPr>
      <w:r w:rsidRPr="008A4FF4">
        <w:rPr>
          <w:color w:val="303030"/>
          <w:kern w:val="2"/>
          <w:sz w:val="24"/>
          <w:szCs w:val="24"/>
          <w:shd w:val="clear" w:color="auto" w:fill="FFFFFF"/>
          <w14:ligatures w14:val="standardContextual"/>
        </w:rPr>
        <w:t xml:space="preserve">SILVA, T. T. Documentos de identidade: uma introdução às teorias do currículo. Belo Horizonte: Autêntica, 1999. </w:t>
      </w:r>
    </w:p>
    <w:sectPr w:rsidR="00AA0CA3" w:rsidRPr="007627F3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8525" w14:textId="77777777" w:rsidR="00FA34DB" w:rsidRDefault="00FA34DB">
      <w:pPr>
        <w:spacing w:line="240" w:lineRule="auto"/>
      </w:pPr>
      <w:r>
        <w:separator/>
      </w:r>
    </w:p>
  </w:endnote>
  <w:endnote w:type="continuationSeparator" w:id="0">
    <w:p w14:paraId="6CDC6407" w14:textId="77777777" w:rsidR="00FA34DB" w:rsidRDefault="00FA3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FB5863-4326-46E8-B06D-FC540A55CD75}"/>
    <w:embedBold r:id="rId2" w:fontKey="{5105B8D3-36FE-4A45-8FB7-4AEFF5FD2E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B321F8-D768-46C0-B2A3-6BD9A319D309}"/>
    <w:embedBold r:id="rId4" w:fontKey="{E07E1DDC-F097-42F5-8E35-2A2E377744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EC76" w14:textId="77777777" w:rsidR="00AA0CA3" w:rsidRDefault="00EB6BEF">
    <w:pPr>
      <w:jc w:val="center"/>
    </w:pPr>
    <w:r>
      <w:fldChar w:fldCharType="begin"/>
    </w:r>
    <w:r>
      <w:instrText>PAGE</w:instrText>
    </w:r>
    <w:r>
      <w:fldChar w:fldCharType="separate"/>
    </w:r>
    <w:r w:rsidR="007308F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F0B1" w14:textId="77777777" w:rsidR="00AA0CA3" w:rsidRDefault="00AA0C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FF8E" w14:textId="77777777" w:rsidR="00FA34DB" w:rsidRDefault="00FA34DB">
      <w:pPr>
        <w:spacing w:line="240" w:lineRule="auto"/>
      </w:pPr>
      <w:r>
        <w:separator/>
      </w:r>
    </w:p>
  </w:footnote>
  <w:footnote w:type="continuationSeparator" w:id="0">
    <w:p w14:paraId="601185E0" w14:textId="77777777" w:rsidR="00FA34DB" w:rsidRDefault="00FA3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9CDF" w14:textId="77777777" w:rsidR="00AA0CA3" w:rsidRDefault="00EB6BEF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038098F" wp14:editId="10D395B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02303AB" wp14:editId="7A50727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E1FE6A" w14:textId="77777777" w:rsidR="00AA0CA3" w:rsidRDefault="00AA0CA3">
    <w:pPr>
      <w:jc w:val="right"/>
    </w:pPr>
  </w:p>
  <w:p w14:paraId="5FE9F575" w14:textId="77777777" w:rsidR="00AA0CA3" w:rsidRDefault="00AA0CA3">
    <w:pPr>
      <w:jc w:val="right"/>
    </w:pPr>
  </w:p>
  <w:p w14:paraId="2D7A7840" w14:textId="77777777" w:rsidR="00AA0CA3" w:rsidRDefault="00EB6BEF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B4413AC" wp14:editId="7DB3A29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8992" w14:textId="77777777" w:rsidR="00AA0CA3" w:rsidRDefault="00AA0C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A3"/>
    <w:rsid w:val="00002B84"/>
    <w:rsid w:val="00015ACD"/>
    <w:rsid w:val="00077CEA"/>
    <w:rsid w:val="00174C99"/>
    <w:rsid w:val="002504CC"/>
    <w:rsid w:val="00262756"/>
    <w:rsid w:val="002C4356"/>
    <w:rsid w:val="002D3497"/>
    <w:rsid w:val="00374AD7"/>
    <w:rsid w:val="003C68B4"/>
    <w:rsid w:val="004001FC"/>
    <w:rsid w:val="00433705"/>
    <w:rsid w:val="004A3478"/>
    <w:rsid w:val="004E0B17"/>
    <w:rsid w:val="00584056"/>
    <w:rsid w:val="005D6EFB"/>
    <w:rsid w:val="00683DE9"/>
    <w:rsid w:val="006867A1"/>
    <w:rsid w:val="006F39E1"/>
    <w:rsid w:val="006F6F45"/>
    <w:rsid w:val="007308F3"/>
    <w:rsid w:val="007627F3"/>
    <w:rsid w:val="007F2193"/>
    <w:rsid w:val="008026AD"/>
    <w:rsid w:val="00870DDD"/>
    <w:rsid w:val="008811FF"/>
    <w:rsid w:val="008A4FF4"/>
    <w:rsid w:val="0090384F"/>
    <w:rsid w:val="00951FFD"/>
    <w:rsid w:val="009E4E4F"/>
    <w:rsid w:val="00A028B3"/>
    <w:rsid w:val="00A303AB"/>
    <w:rsid w:val="00A34969"/>
    <w:rsid w:val="00AA0CA3"/>
    <w:rsid w:val="00AA3A71"/>
    <w:rsid w:val="00AD05E1"/>
    <w:rsid w:val="00AD75D3"/>
    <w:rsid w:val="00B13907"/>
    <w:rsid w:val="00B535BB"/>
    <w:rsid w:val="00B9163F"/>
    <w:rsid w:val="00B94E8F"/>
    <w:rsid w:val="00BB6333"/>
    <w:rsid w:val="00BF7AEA"/>
    <w:rsid w:val="00C70CB5"/>
    <w:rsid w:val="00CA0DEC"/>
    <w:rsid w:val="00CC0DBB"/>
    <w:rsid w:val="00CC0FBB"/>
    <w:rsid w:val="00D41B1F"/>
    <w:rsid w:val="00D87656"/>
    <w:rsid w:val="00DD16B0"/>
    <w:rsid w:val="00E12646"/>
    <w:rsid w:val="00E53B0F"/>
    <w:rsid w:val="00E553C9"/>
    <w:rsid w:val="00E667DF"/>
    <w:rsid w:val="00E72C68"/>
    <w:rsid w:val="00EB6BEF"/>
    <w:rsid w:val="00EC4CCF"/>
    <w:rsid w:val="00F042D8"/>
    <w:rsid w:val="00F10822"/>
    <w:rsid w:val="00F21806"/>
    <w:rsid w:val="00F21948"/>
    <w:rsid w:val="00F77B16"/>
    <w:rsid w:val="00F80EA5"/>
    <w:rsid w:val="00FA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8430"/>
  <w15:docId w15:val="{1526A7F1-3E61-4BD0-B21E-D05BE8C3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308F3"/>
    <w:rPr>
      <w:color w:val="0000FF" w:themeColor="hyperlink"/>
      <w:u w:val="single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7308F3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308F3"/>
    <w:rPr>
      <w:rFonts w:ascii="Arial MT" w:eastAsia="Arial MT" w:hAnsi="Arial MT" w:cs="Arial MT"/>
      <w:sz w:val="24"/>
      <w:szCs w:val="24"/>
      <w:lang w:val="pt-PT" w:eastAsia="en-US"/>
    </w:rPr>
  </w:style>
  <w:style w:type="paragraph" w:styleId="SemEspaamento">
    <w:name w:val="No Spacing"/>
    <w:uiPriority w:val="1"/>
    <w:qFormat/>
    <w:rsid w:val="00D41B1F"/>
    <w:pPr>
      <w:spacing w:line="240" w:lineRule="auto"/>
    </w:pPr>
    <w:rPr>
      <w:rFonts w:ascii="Times New Roman" w:eastAsiaTheme="minorHAnsi" w:hAnsi="Times New Roman" w:cs="Times New Roman"/>
      <w:b/>
      <w:bCs/>
      <w:sz w:val="24"/>
      <w:szCs w:val="24"/>
      <w:lang w:eastAsia="en-US"/>
    </w:rPr>
  </w:style>
  <w:style w:type="character" w:customStyle="1" w:styleId="ng-star-inserted">
    <w:name w:val="ng-star-inserted"/>
    <w:basedOn w:val="Fontepargpadro"/>
    <w:rsid w:val="00DD16B0"/>
  </w:style>
  <w:style w:type="character" w:styleId="MenoPendente">
    <w:name w:val="Unresolved Mention"/>
    <w:basedOn w:val="Fontepargpadro"/>
    <w:uiPriority w:val="99"/>
    <w:semiHidden/>
    <w:unhideWhenUsed/>
    <w:rsid w:val="00903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.luiza@uesb.edu.br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pretaprofranca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ldemiro1810@gmail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6C042-7207-4C99-8907-DBE6035B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1506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Luana França</dc:creator>
  <cp:lastModifiedBy>Luana França</cp:lastModifiedBy>
  <cp:revision>7</cp:revision>
  <dcterms:created xsi:type="dcterms:W3CDTF">2026-08-16T22:47:00Z</dcterms:created>
  <dcterms:modified xsi:type="dcterms:W3CDTF">2026-08-16T23:17:00Z</dcterms:modified>
</cp:coreProperties>
</file>