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5B36" w14:textId="533BCCE4" w:rsidR="00462131" w:rsidRPr="00AD4852" w:rsidRDefault="000640AE">
      <w:pPr>
        <w:keepLines/>
        <w:widowControl w:val="0"/>
        <w:spacing w:line="240" w:lineRule="auto"/>
        <w:jc w:val="center"/>
        <w:rPr>
          <w:b/>
          <w:bCs/>
          <w:sz w:val="24"/>
          <w:szCs w:val="24"/>
        </w:rPr>
      </w:pPr>
      <w:r w:rsidRPr="00AD4852">
        <w:rPr>
          <w:b/>
          <w:bCs/>
          <w:sz w:val="24"/>
          <w:szCs w:val="24"/>
        </w:rPr>
        <w:t>CONVERSATÓRIO 7 - EDUCAÇÃO ANTIRRACISTA NA EDUCAÇÃO BÁSICA: EDUCANDO PARA AS RELAÇÕES ÉTNICO-RACIAIS</w:t>
      </w:r>
    </w:p>
    <w:p w14:paraId="2D6941BC" w14:textId="77777777" w:rsidR="00F647D1" w:rsidRPr="00AD4852" w:rsidRDefault="00F647D1">
      <w:pPr>
        <w:keepLines/>
        <w:widowControl w:val="0"/>
        <w:spacing w:line="240" w:lineRule="auto"/>
        <w:rPr>
          <w:b/>
          <w:bCs/>
          <w:sz w:val="24"/>
          <w:szCs w:val="24"/>
        </w:rPr>
      </w:pPr>
    </w:p>
    <w:p w14:paraId="61D1E478" w14:textId="0227014B" w:rsidR="00462131" w:rsidRPr="00AD4852" w:rsidRDefault="00F647D1" w:rsidP="00F647D1">
      <w:pPr>
        <w:keepLines/>
        <w:widowControl w:val="0"/>
        <w:spacing w:line="240" w:lineRule="auto"/>
        <w:jc w:val="center"/>
        <w:rPr>
          <w:b/>
          <w:bCs/>
          <w:sz w:val="24"/>
          <w:szCs w:val="24"/>
        </w:rPr>
      </w:pPr>
      <w:r w:rsidRPr="00AD4852">
        <w:rPr>
          <w:b/>
          <w:bCs/>
          <w:sz w:val="24"/>
          <w:szCs w:val="24"/>
        </w:rPr>
        <w:t>Narrativas de Reexistência e Autoria: A Contação de Histórias como Pedagogia Desobediente na Interface entre Educação Inclusiva e Antirracista</w:t>
      </w:r>
    </w:p>
    <w:p w14:paraId="6D7A2695" w14:textId="77777777" w:rsidR="00F647D1" w:rsidRPr="00AD4852" w:rsidRDefault="00F647D1">
      <w:pPr>
        <w:keepLines/>
        <w:widowControl w:val="0"/>
        <w:spacing w:line="240" w:lineRule="auto"/>
        <w:rPr>
          <w:sz w:val="24"/>
          <w:szCs w:val="24"/>
        </w:rPr>
      </w:pPr>
    </w:p>
    <w:p w14:paraId="6A5C9F26" w14:textId="44C2D0E3" w:rsidR="000640AE" w:rsidRPr="00AD4852" w:rsidRDefault="002226F7" w:rsidP="00673536">
      <w:pPr>
        <w:keepLines/>
        <w:widowControl w:val="0"/>
        <w:spacing w:line="240" w:lineRule="auto"/>
        <w:jc w:val="right"/>
        <w:rPr>
          <w:sz w:val="24"/>
          <w:szCs w:val="24"/>
        </w:rPr>
      </w:pPr>
      <w:r>
        <w:rPr>
          <w:sz w:val="24"/>
          <w:szCs w:val="24"/>
        </w:rPr>
        <w:t>Jaqueline Sousa Santos Pita, UNEB/SMED, jaquelinepitassa@gmail.com</w:t>
      </w:r>
      <w:r w:rsidR="0018285C" w:rsidRPr="00AD4852">
        <w:rPr>
          <w:sz w:val="24"/>
          <w:szCs w:val="24"/>
        </w:rPr>
        <w:t xml:space="preserve">          </w:t>
      </w:r>
    </w:p>
    <w:p w14:paraId="4D8023E9" w14:textId="77777777" w:rsidR="000640AE" w:rsidRPr="00AD4852" w:rsidRDefault="000640AE" w:rsidP="000640AE">
      <w:pPr>
        <w:keepLines/>
        <w:widowControl w:val="0"/>
        <w:spacing w:line="360" w:lineRule="auto"/>
        <w:jc w:val="both"/>
        <w:rPr>
          <w:sz w:val="24"/>
          <w:szCs w:val="24"/>
        </w:rPr>
      </w:pPr>
    </w:p>
    <w:p w14:paraId="28D09FE8" w14:textId="798B2CFD" w:rsidR="000640AE" w:rsidRDefault="0018285C" w:rsidP="00AD4852">
      <w:pPr>
        <w:keepLines/>
        <w:widowControl w:val="0"/>
        <w:spacing w:line="360" w:lineRule="auto"/>
        <w:jc w:val="both"/>
        <w:rPr>
          <w:b/>
          <w:bCs/>
          <w:sz w:val="24"/>
          <w:szCs w:val="24"/>
        </w:rPr>
      </w:pPr>
      <w:r w:rsidRPr="00AD4852">
        <w:rPr>
          <w:b/>
          <w:bCs/>
          <w:sz w:val="24"/>
          <w:szCs w:val="24"/>
        </w:rPr>
        <w:t>RESUMO</w:t>
      </w:r>
    </w:p>
    <w:p w14:paraId="0EBE055D" w14:textId="77777777" w:rsidR="00AD4852" w:rsidRPr="00AD4852" w:rsidRDefault="00AD4852" w:rsidP="00F8764E">
      <w:pPr>
        <w:keepLines/>
        <w:widowControl w:val="0"/>
        <w:spacing w:line="360" w:lineRule="auto"/>
        <w:jc w:val="both"/>
        <w:rPr>
          <w:sz w:val="24"/>
          <w:szCs w:val="24"/>
        </w:rPr>
      </w:pPr>
    </w:p>
    <w:p w14:paraId="6F277C5F" w14:textId="77777777" w:rsidR="00F8764E" w:rsidRPr="00F8764E" w:rsidRDefault="00F8764E" w:rsidP="00F8764E">
      <w:pPr>
        <w:keepLines/>
        <w:widowControl w:val="0"/>
        <w:spacing w:line="360" w:lineRule="auto"/>
        <w:jc w:val="both"/>
        <w:rPr>
          <w:sz w:val="24"/>
          <w:szCs w:val="24"/>
        </w:rPr>
      </w:pPr>
      <w:r w:rsidRPr="00F8764E">
        <w:rPr>
          <w:sz w:val="24"/>
          <w:szCs w:val="24"/>
        </w:rPr>
        <w:t>O sistema educacional tradicional, ao longo da história, contribuiu para a consolidação de uma narrativa única, de matriz colonial, invisibilizando vivências de Pessoas com Deficiência (</w:t>
      </w:r>
      <w:proofErr w:type="spellStart"/>
      <w:r w:rsidRPr="00F8764E">
        <w:rPr>
          <w:sz w:val="24"/>
          <w:szCs w:val="24"/>
        </w:rPr>
        <w:t>PcD</w:t>
      </w:r>
      <w:proofErr w:type="spellEnd"/>
      <w:r w:rsidRPr="00F8764E">
        <w:rPr>
          <w:sz w:val="24"/>
          <w:szCs w:val="24"/>
        </w:rPr>
        <w:t xml:space="preserve">) e saberes produzidos em contextos periféricos. Esse legado é marcado por paradigmas que segregam a diferença e reproduzem perspectivas </w:t>
      </w:r>
      <w:proofErr w:type="spellStart"/>
      <w:r w:rsidRPr="00F8764E">
        <w:rPr>
          <w:sz w:val="24"/>
          <w:szCs w:val="24"/>
        </w:rPr>
        <w:t>capacitistas</w:t>
      </w:r>
      <w:proofErr w:type="spellEnd"/>
      <w:r w:rsidRPr="00F8764E">
        <w:rPr>
          <w:sz w:val="24"/>
          <w:szCs w:val="24"/>
        </w:rPr>
        <w:t>. A escola, embora constitua espaço de formação crítica, também pode silenciar sujeitos ao privilegiar determinados conhecimentos e deslegitimar saberes preservados pela tradição oral. Este trabalho objetiva investigar a Contação de Histórias (CH) como prática pedagógica decolonial e possibilidade de resistência aos processos históricos de apagamento de vozes marginalizadas.</w:t>
      </w:r>
    </w:p>
    <w:p w14:paraId="58DB3BD3" w14:textId="65C614BB" w:rsidR="00F8764E" w:rsidRPr="00F8764E" w:rsidRDefault="00F8764E" w:rsidP="00F8764E">
      <w:pPr>
        <w:keepLines/>
        <w:widowControl w:val="0"/>
        <w:spacing w:line="360" w:lineRule="auto"/>
        <w:jc w:val="both"/>
        <w:rPr>
          <w:sz w:val="24"/>
          <w:szCs w:val="24"/>
        </w:rPr>
      </w:pPr>
      <w:r w:rsidRPr="00F8764E">
        <w:rPr>
          <w:sz w:val="24"/>
          <w:szCs w:val="24"/>
        </w:rPr>
        <w:t xml:space="preserve">A discussão </w:t>
      </w:r>
      <w:r w:rsidR="007C7A53">
        <w:rPr>
          <w:sz w:val="24"/>
          <w:szCs w:val="24"/>
        </w:rPr>
        <w:t xml:space="preserve">está </w:t>
      </w:r>
      <w:r w:rsidRPr="00F8764E">
        <w:rPr>
          <w:sz w:val="24"/>
          <w:szCs w:val="24"/>
        </w:rPr>
        <w:t>fundamenta</w:t>
      </w:r>
      <w:r w:rsidR="007C7A53">
        <w:rPr>
          <w:sz w:val="24"/>
          <w:szCs w:val="24"/>
        </w:rPr>
        <w:t>da</w:t>
      </w:r>
      <w:r w:rsidRPr="00F8764E">
        <w:rPr>
          <w:sz w:val="24"/>
          <w:szCs w:val="24"/>
        </w:rPr>
        <w:t xml:space="preserve"> nos conceitos de violência epistêmica</w:t>
      </w:r>
      <w:r w:rsidR="00482561">
        <w:rPr>
          <w:sz w:val="24"/>
          <w:szCs w:val="24"/>
        </w:rPr>
        <w:t xml:space="preserve"> (</w:t>
      </w:r>
      <w:r w:rsidR="00482561" w:rsidRPr="00482561">
        <w:rPr>
          <w:sz w:val="24"/>
          <w:szCs w:val="24"/>
        </w:rPr>
        <w:t>Walsh</w:t>
      </w:r>
      <w:r w:rsidR="00482561">
        <w:rPr>
          <w:sz w:val="24"/>
          <w:szCs w:val="24"/>
        </w:rPr>
        <w:t>, 2017)</w:t>
      </w:r>
      <w:r w:rsidRPr="00F8764E">
        <w:rPr>
          <w:sz w:val="24"/>
          <w:szCs w:val="24"/>
        </w:rPr>
        <w:t xml:space="preserve"> e epistemicídio</w:t>
      </w:r>
      <w:r w:rsidR="009004E9">
        <w:rPr>
          <w:sz w:val="24"/>
          <w:szCs w:val="24"/>
        </w:rPr>
        <w:t xml:space="preserve">, </w:t>
      </w:r>
      <w:r w:rsidRPr="00F8764E">
        <w:rPr>
          <w:sz w:val="24"/>
          <w:szCs w:val="24"/>
        </w:rPr>
        <w:t>compreendidos como processos de valorização de determinados conhecimentos e deslegitimação de outros, sobretudo aqueles produzidos por grupos historicamente subalternizados. No campo da Educação Especial e Inclusiva, essa lógica pode ser percebida na permanência de perspectivas vinculadas ao modelo médico, que centralizam a deficiência, o diagnóstico e as limitações atribuídas ao indivíduo</w:t>
      </w:r>
      <w:r w:rsidR="00952DF0">
        <w:rPr>
          <w:sz w:val="24"/>
          <w:szCs w:val="24"/>
        </w:rPr>
        <w:t xml:space="preserve"> (Diniz, Santos e Barbosa, 2015). </w:t>
      </w:r>
      <w:r w:rsidRPr="00F8764E">
        <w:rPr>
          <w:sz w:val="24"/>
          <w:szCs w:val="24"/>
        </w:rPr>
        <w:t>Em contraposição, o modelo social desloca o olhar para as barreiras presentes na sociedade e nas instituições escolares. Nessa direção, uma educação decolonial requer questionar hierarquias de saber</w:t>
      </w:r>
      <w:r w:rsidR="007B5FF0">
        <w:rPr>
          <w:sz w:val="24"/>
          <w:szCs w:val="24"/>
        </w:rPr>
        <w:t xml:space="preserve"> </w:t>
      </w:r>
      <w:r w:rsidR="009004E9">
        <w:rPr>
          <w:sz w:val="24"/>
          <w:szCs w:val="24"/>
        </w:rPr>
        <w:t>(Carneiro, 2005</w:t>
      </w:r>
      <w:r w:rsidR="007B5FF0">
        <w:rPr>
          <w:sz w:val="24"/>
          <w:szCs w:val="24"/>
        </w:rPr>
        <w:t>)</w:t>
      </w:r>
      <w:r w:rsidR="007B5FF0" w:rsidRPr="00F8764E">
        <w:rPr>
          <w:sz w:val="24"/>
          <w:szCs w:val="24"/>
        </w:rPr>
        <w:t>, e</w:t>
      </w:r>
      <w:r w:rsidRPr="00F8764E">
        <w:rPr>
          <w:sz w:val="24"/>
          <w:szCs w:val="24"/>
        </w:rPr>
        <w:t xml:space="preserve"> ampliar as possibilidades de participação e expressão dos sujeitos.</w:t>
      </w:r>
    </w:p>
    <w:p w14:paraId="6D92FC78" w14:textId="2DEDC990" w:rsidR="00F8764E" w:rsidRPr="00F8764E" w:rsidRDefault="00F8764E" w:rsidP="00F8764E">
      <w:pPr>
        <w:keepLines/>
        <w:widowControl w:val="0"/>
        <w:spacing w:line="360" w:lineRule="auto"/>
        <w:jc w:val="both"/>
        <w:rPr>
          <w:sz w:val="24"/>
          <w:szCs w:val="24"/>
        </w:rPr>
      </w:pPr>
      <w:r w:rsidRPr="00F8764E">
        <w:rPr>
          <w:sz w:val="24"/>
          <w:szCs w:val="24"/>
        </w:rPr>
        <w:t>É nesse contexto que a CH ganha relevância, não apenas como recurso pedagógico ou atividade lúdica, mas como prática capaz de recuperar memórias, experiências e formas de expressão nem sempre legitimadas pela escola. Contar e ouvir histórias possibilita construir outros sentidos sobre si, o outro e o mundo</w:t>
      </w:r>
      <w:r w:rsidR="0069389D">
        <w:rPr>
          <w:sz w:val="24"/>
          <w:szCs w:val="24"/>
        </w:rPr>
        <w:t xml:space="preserve"> (Santos, Arapiraca, Apoema, 2012)</w:t>
      </w:r>
      <w:r w:rsidRPr="00F8764E">
        <w:rPr>
          <w:sz w:val="24"/>
          <w:szCs w:val="24"/>
        </w:rPr>
        <w:t>, especialmente quando o estudante deixa de ocupar apenas o lugar de ouvinte e assume também a autoria de suas narrativas.</w:t>
      </w:r>
    </w:p>
    <w:p w14:paraId="3AEC7A3C" w14:textId="77777777" w:rsidR="00F8764E" w:rsidRPr="00F8764E" w:rsidRDefault="00F8764E" w:rsidP="00F8764E">
      <w:pPr>
        <w:keepLines/>
        <w:widowControl w:val="0"/>
        <w:spacing w:line="360" w:lineRule="auto"/>
        <w:jc w:val="both"/>
        <w:rPr>
          <w:sz w:val="24"/>
          <w:szCs w:val="24"/>
        </w:rPr>
      </w:pPr>
      <w:r w:rsidRPr="00F8764E">
        <w:rPr>
          <w:sz w:val="24"/>
          <w:szCs w:val="24"/>
        </w:rPr>
        <w:lastRenderedPageBreak/>
        <w:t>Trata-se de uma pesquisa qualitativa que articula levantamento bibliográfico e análise de um relato de experiência desenvolvido em uma sala de Atendimento Educacional Especializado (AEE). A experiência envolveu a mediação pedagógica com um estudante com Transtorno do Espectro Autista (TEA), nível de suporte 1, em atividades relacionadas à educação antirracista, em diálogo com a Lei nº 10.639/2003.</w:t>
      </w:r>
    </w:p>
    <w:p w14:paraId="1D1A2657" w14:textId="3FD87B76" w:rsidR="00F8764E" w:rsidRPr="00F8764E" w:rsidRDefault="00F8764E" w:rsidP="00F8764E">
      <w:pPr>
        <w:keepLines/>
        <w:widowControl w:val="0"/>
        <w:spacing w:line="360" w:lineRule="auto"/>
        <w:jc w:val="both"/>
        <w:rPr>
          <w:sz w:val="24"/>
          <w:szCs w:val="24"/>
        </w:rPr>
      </w:pPr>
      <w:r w:rsidRPr="00F8764E">
        <w:rPr>
          <w:sz w:val="24"/>
          <w:szCs w:val="24"/>
        </w:rPr>
        <w:t>Inicialmente, o estudante apresentou resistência às discussões sobre racismo, afirmando que o tema era um “exagero”, e demonstrava uma compreensão da negritude restrita à cor da pele. A mediação partiu da escuta e da valorização de seus interesses, especialmente sua recorrente criação de narrativas ficcionais e personagens imaginários. A partir dessas produções, foram introduzidas discussões sobre representatividade, diversidade racial e construção dos personagens. Em vez de oferecer respostas prontas, busc</w:t>
      </w:r>
      <w:r w:rsidR="007C7A53">
        <w:rPr>
          <w:sz w:val="24"/>
          <w:szCs w:val="24"/>
        </w:rPr>
        <w:t xml:space="preserve">amos </w:t>
      </w:r>
      <w:r w:rsidRPr="00F8764E">
        <w:rPr>
          <w:sz w:val="24"/>
          <w:szCs w:val="24"/>
        </w:rPr>
        <w:t>criar condições para que o estudante elaborasse sentidos a partir de seu próprio repertório, aproximando a discussão de seu universo de interesse.</w:t>
      </w:r>
    </w:p>
    <w:p w14:paraId="0F3DA995" w14:textId="77777777" w:rsidR="00F8764E" w:rsidRPr="00F8764E" w:rsidRDefault="00F8764E" w:rsidP="00F8764E">
      <w:pPr>
        <w:keepLines/>
        <w:widowControl w:val="0"/>
        <w:spacing w:line="360" w:lineRule="auto"/>
        <w:jc w:val="both"/>
        <w:rPr>
          <w:sz w:val="24"/>
          <w:szCs w:val="24"/>
        </w:rPr>
      </w:pPr>
      <w:r w:rsidRPr="00F8764E">
        <w:rPr>
          <w:sz w:val="24"/>
          <w:szCs w:val="24"/>
        </w:rPr>
        <w:t>Um resultado observado ocorreu quando o estudante passou a incluir espontaneamente uma personagem negra em suas narrativas. Embora esse acontecimento não permita afirmar, isoladamente, uma transformação de sua compreensão sobre as relações raciais, sinaliza ampliação das possibilidades de representação em suas produções. A mudança é significativa por ter emergido de uma narrativa criada pelo próprio estudante, e não de uma resposta reproduzida em uma atividade escolar. Nesse sentido, a CH mostrou-se possibilidade de acessar e deslocar sentidos, respeitando o tempo, os interesses e as formas particulares de expressão do sujeito.</w:t>
      </w:r>
    </w:p>
    <w:p w14:paraId="3C729ADD" w14:textId="5D86C5EF" w:rsidR="00F8764E" w:rsidRPr="00F8764E" w:rsidRDefault="00F8764E" w:rsidP="00F8764E">
      <w:pPr>
        <w:keepLines/>
        <w:widowControl w:val="0"/>
        <w:spacing w:line="360" w:lineRule="auto"/>
        <w:jc w:val="both"/>
        <w:rPr>
          <w:sz w:val="24"/>
          <w:szCs w:val="24"/>
        </w:rPr>
      </w:pPr>
      <w:r w:rsidRPr="00F8764E">
        <w:rPr>
          <w:sz w:val="24"/>
          <w:szCs w:val="24"/>
        </w:rPr>
        <w:t>Sob a perspectiva histórico-cultural, compreendemos que a identidade racial se constitui nas relações sociais e culturais e que a mediação docente participa desse processo. Uma prática decolonial implica questionar a posição do professor como único detentor do conhecimento</w:t>
      </w:r>
      <w:r w:rsidR="00952DF0">
        <w:rPr>
          <w:sz w:val="24"/>
          <w:szCs w:val="24"/>
        </w:rPr>
        <w:t xml:space="preserve"> (Freire, 2004)</w:t>
      </w:r>
      <w:r w:rsidRPr="00F8764E">
        <w:rPr>
          <w:sz w:val="24"/>
          <w:szCs w:val="24"/>
        </w:rPr>
        <w:t xml:space="preserve"> e favorecer diálogo, escuta e produção compartilhada de sentidos. O reconhecimento das histórias dos estudantes e a ampliação das formas de expressão, inclusive por meio de recursos de acessibilidade, podem favorecer sua participação efetiva na produção do conhecimento.</w:t>
      </w:r>
      <w:r w:rsidR="007C7A53">
        <w:rPr>
          <w:sz w:val="24"/>
          <w:szCs w:val="24"/>
        </w:rPr>
        <w:t xml:space="preserve"> </w:t>
      </w:r>
      <w:r w:rsidRPr="00F8764E">
        <w:rPr>
          <w:sz w:val="24"/>
          <w:szCs w:val="24"/>
        </w:rPr>
        <w:t>Assim, educação inclusiva e educação antirracista articulam-se na construção de uma escola comprometida com a justiça social. Para estudantes com deficiência, ocupar o lugar de narradores significa também ocupar um lugar de autoria, no qual experiências, imaginação e modos de compreender o mundo possam integrar a trama escolar. A CH pode, portanto, tensionar a ideia de que apenas determinados sujeitos possuem legitimidade para narrar, ensinar e produzir conhecimento.</w:t>
      </w:r>
    </w:p>
    <w:p w14:paraId="13ABDD8A" w14:textId="7F9B4463" w:rsidR="00F8764E" w:rsidRPr="00F8764E" w:rsidRDefault="00F8764E" w:rsidP="00F8764E">
      <w:pPr>
        <w:keepLines/>
        <w:widowControl w:val="0"/>
        <w:spacing w:line="360" w:lineRule="auto"/>
        <w:jc w:val="both"/>
        <w:rPr>
          <w:sz w:val="24"/>
          <w:szCs w:val="24"/>
        </w:rPr>
      </w:pPr>
      <w:r w:rsidRPr="00F8764E">
        <w:rPr>
          <w:sz w:val="24"/>
          <w:szCs w:val="24"/>
        </w:rPr>
        <w:lastRenderedPageBreak/>
        <w:t>Concluímos que, embora persistam marcas coloniais nos currículos e nas práticas pedagógicas, a CH pode abrir espaços para outras formas de participação e produção de conhecimento. Valorizar narrativas historicamente silenciadas constitui compromisso ético com uma educação que reconheça a pluralidade dos sujeitos e dos saberes. Assim como no trabalho artesanal, em que diferentes fios se entrelaçam para formar uma trama, uma educação decolonial precisa articular diferenças, experiências e conhecimentos sem exigir que todos tenham a mesma forma. Desaprender o capacitismo e enfrentar o racismo estrutural significa criar outras possibilidades de existência e autoria no espaço escolar, reconhecendo a diversidade como parte fundamental da construção do conhecimento.</w:t>
      </w:r>
    </w:p>
    <w:p w14:paraId="47B3A4BF" w14:textId="286A25EE" w:rsidR="00462131" w:rsidRPr="00AD4852" w:rsidRDefault="0018285C">
      <w:pPr>
        <w:keepLines/>
        <w:widowControl w:val="0"/>
        <w:spacing w:before="240" w:after="240" w:line="360" w:lineRule="auto"/>
        <w:jc w:val="both"/>
        <w:rPr>
          <w:sz w:val="24"/>
          <w:szCs w:val="24"/>
        </w:rPr>
      </w:pPr>
      <w:r w:rsidRPr="00AD4852">
        <w:rPr>
          <w:b/>
          <w:bCs/>
          <w:sz w:val="24"/>
          <w:szCs w:val="24"/>
        </w:rPr>
        <w:t xml:space="preserve">Palavras-chave: </w:t>
      </w:r>
      <w:r w:rsidR="000640AE" w:rsidRPr="00AD4852">
        <w:rPr>
          <w:sz w:val="24"/>
          <w:szCs w:val="24"/>
        </w:rPr>
        <w:t>Contação de Histórias; Educação Inclusiva; Decolonialidade; Educação Antirracista; Interseccionalidade.</w:t>
      </w:r>
    </w:p>
    <w:p w14:paraId="51C40AAD" w14:textId="77777777" w:rsidR="00462131" w:rsidRPr="00AD4852" w:rsidRDefault="0018285C" w:rsidP="000640AE">
      <w:pPr>
        <w:keepLines/>
        <w:widowControl w:val="0"/>
        <w:spacing w:line="360" w:lineRule="auto"/>
        <w:rPr>
          <w:b/>
          <w:bCs/>
          <w:sz w:val="24"/>
          <w:szCs w:val="24"/>
        </w:rPr>
      </w:pPr>
      <w:r w:rsidRPr="00AD4852">
        <w:rPr>
          <w:b/>
          <w:bCs/>
          <w:sz w:val="24"/>
          <w:szCs w:val="24"/>
        </w:rPr>
        <w:t>Referências</w:t>
      </w:r>
    </w:p>
    <w:p w14:paraId="1AF72B95" w14:textId="77777777" w:rsidR="000640AE" w:rsidRPr="00AD4852" w:rsidRDefault="000640AE" w:rsidP="000640AE">
      <w:pPr>
        <w:keepLines/>
        <w:widowControl w:val="0"/>
        <w:spacing w:line="360" w:lineRule="auto"/>
        <w:rPr>
          <w:sz w:val="24"/>
          <w:szCs w:val="24"/>
        </w:rPr>
      </w:pPr>
      <w:r w:rsidRPr="00AD4852">
        <w:rPr>
          <w:sz w:val="24"/>
          <w:szCs w:val="24"/>
        </w:rPr>
        <w:t>BARDI, Julia. A gente aparece na História que conta: Narrativas e Potências Descolonial. Revista Estudos Anarquistas e Decoloniais, v. 5, n. 8, 2025.</w:t>
      </w:r>
    </w:p>
    <w:p w14:paraId="174FC0E9" w14:textId="77777777" w:rsidR="000640AE" w:rsidRPr="00AD4852" w:rsidRDefault="000640AE" w:rsidP="000640AE">
      <w:pPr>
        <w:keepLines/>
        <w:widowControl w:val="0"/>
        <w:spacing w:line="360" w:lineRule="auto"/>
        <w:rPr>
          <w:sz w:val="24"/>
          <w:szCs w:val="24"/>
        </w:rPr>
      </w:pPr>
      <w:r w:rsidRPr="00AD4852">
        <w:rPr>
          <w:sz w:val="24"/>
          <w:szCs w:val="24"/>
        </w:rPr>
        <w:t>BENJAMIN, Walter. A arte de contar histórias. São Paulo: Hedra, 2018.</w:t>
      </w:r>
    </w:p>
    <w:p w14:paraId="69A85816" w14:textId="77777777" w:rsidR="000640AE" w:rsidRPr="00AD4852" w:rsidRDefault="000640AE" w:rsidP="000640AE">
      <w:pPr>
        <w:keepLines/>
        <w:widowControl w:val="0"/>
        <w:spacing w:line="360" w:lineRule="auto"/>
        <w:rPr>
          <w:sz w:val="24"/>
          <w:szCs w:val="24"/>
        </w:rPr>
      </w:pPr>
      <w:r w:rsidRPr="00AD4852">
        <w:rPr>
          <w:sz w:val="24"/>
          <w:szCs w:val="24"/>
        </w:rPr>
        <w:t>BRASIL. Lei nº 13.146, de 6 de julho de 2015. Institui a Lei Brasileira de Inclusão. Brasília, 2015.</w:t>
      </w:r>
    </w:p>
    <w:p w14:paraId="7A483757" w14:textId="77777777" w:rsidR="000640AE" w:rsidRPr="00AD4852" w:rsidRDefault="000640AE" w:rsidP="000640AE">
      <w:pPr>
        <w:keepLines/>
        <w:widowControl w:val="0"/>
        <w:spacing w:line="360" w:lineRule="auto"/>
        <w:rPr>
          <w:sz w:val="24"/>
          <w:szCs w:val="24"/>
        </w:rPr>
      </w:pPr>
      <w:r w:rsidRPr="00AD4852">
        <w:rPr>
          <w:sz w:val="24"/>
          <w:szCs w:val="24"/>
        </w:rPr>
        <w:t>BRASIL. Lei nº 10.639, de 9 de janeiro de 2003. Brasília, 2003.</w:t>
      </w:r>
    </w:p>
    <w:p w14:paraId="3F8009FA" w14:textId="77777777" w:rsidR="000640AE" w:rsidRPr="00AD4852" w:rsidRDefault="000640AE" w:rsidP="000640AE">
      <w:pPr>
        <w:keepLines/>
        <w:widowControl w:val="0"/>
        <w:spacing w:line="360" w:lineRule="auto"/>
        <w:rPr>
          <w:sz w:val="24"/>
          <w:szCs w:val="24"/>
        </w:rPr>
      </w:pPr>
      <w:r w:rsidRPr="00AD4852">
        <w:rPr>
          <w:sz w:val="24"/>
          <w:szCs w:val="24"/>
        </w:rPr>
        <w:t>CARNEIRO, Sueli. A construção do outro como não-ser como fundamento do ser. Tese (Doutorado) – USP, 2005.</w:t>
      </w:r>
    </w:p>
    <w:p w14:paraId="2E0BA1F3" w14:textId="77777777" w:rsidR="000640AE" w:rsidRPr="00AD4852" w:rsidRDefault="000640AE" w:rsidP="000640AE">
      <w:pPr>
        <w:keepLines/>
        <w:widowControl w:val="0"/>
        <w:spacing w:line="360" w:lineRule="auto"/>
        <w:rPr>
          <w:sz w:val="24"/>
          <w:szCs w:val="24"/>
        </w:rPr>
      </w:pPr>
      <w:r w:rsidRPr="00AD4852">
        <w:rPr>
          <w:sz w:val="24"/>
          <w:szCs w:val="24"/>
        </w:rPr>
        <w:t>DINIZ, Débora; BARBOSA, Lívia; SANTOS, Wederson Rufino. Deficiência, direitos humanos e justiça. Revista Internacional de Direitos Humanos, v. 6, n. 11, 2009.</w:t>
      </w:r>
    </w:p>
    <w:p w14:paraId="0F50B0DC" w14:textId="77777777" w:rsidR="000640AE" w:rsidRPr="00AD4852" w:rsidRDefault="000640AE" w:rsidP="000640AE">
      <w:pPr>
        <w:keepLines/>
        <w:widowControl w:val="0"/>
        <w:spacing w:line="360" w:lineRule="auto"/>
        <w:rPr>
          <w:sz w:val="24"/>
          <w:szCs w:val="24"/>
        </w:rPr>
      </w:pPr>
      <w:r w:rsidRPr="00AD4852">
        <w:rPr>
          <w:sz w:val="24"/>
          <w:szCs w:val="24"/>
        </w:rPr>
        <w:t>FREIRE, Paulo. Pedagogia do Oprimido. 11ª ed. Rio de Janeiro: Paz e Terra, 2004.</w:t>
      </w:r>
    </w:p>
    <w:p w14:paraId="259DA9A3" w14:textId="77777777" w:rsidR="000640AE" w:rsidRPr="00AD4852" w:rsidRDefault="000640AE" w:rsidP="000640AE">
      <w:pPr>
        <w:keepLines/>
        <w:widowControl w:val="0"/>
        <w:spacing w:line="360" w:lineRule="auto"/>
        <w:rPr>
          <w:sz w:val="24"/>
          <w:szCs w:val="24"/>
        </w:rPr>
      </w:pPr>
      <w:r w:rsidRPr="00AD4852">
        <w:rPr>
          <w:sz w:val="24"/>
          <w:szCs w:val="24"/>
        </w:rPr>
        <w:t>GATTI, Bernadete Angelina. Contemporaneidade: educação, modernidade pós-modernidade. Revista Práxis Educacional, v. 19, n. 50, 2023.</w:t>
      </w:r>
    </w:p>
    <w:p w14:paraId="01AA7531" w14:textId="77777777" w:rsidR="000640AE" w:rsidRPr="00AD4852" w:rsidRDefault="000640AE" w:rsidP="000640AE">
      <w:pPr>
        <w:keepLines/>
        <w:widowControl w:val="0"/>
        <w:spacing w:line="360" w:lineRule="auto"/>
        <w:rPr>
          <w:sz w:val="24"/>
          <w:szCs w:val="24"/>
        </w:rPr>
      </w:pPr>
      <w:r w:rsidRPr="00AD4852">
        <w:rPr>
          <w:sz w:val="24"/>
          <w:szCs w:val="24"/>
        </w:rPr>
        <w:t xml:space="preserve">MANTOAN, Maria Teresa </w:t>
      </w:r>
      <w:proofErr w:type="spellStart"/>
      <w:r w:rsidRPr="00AD4852">
        <w:rPr>
          <w:sz w:val="24"/>
          <w:szCs w:val="24"/>
        </w:rPr>
        <w:t>Eglér</w:t>
      </w:r>
      <w:proofErr w:type="spellEnd"/>
      <w:r w:rsidRPr="00AD4852">
        <w:rPr>
          <w:sz w:val="24"/>
          <w:szCs w:val="24"/>
        </w:rPr>
        <w:t xml:space="preserve">. Inclusão Escolar: O que é? Por quê? Como fazer? São Paulo: </w:t>
      </w:r>
      <w:proofErr w:type="spellStart"/>
      <w:r w:rsidRPr="00AD4852">
        <w:rPr>
          <w:sz w:val="24"/>
          <w:szCs w:val="24"/>
        </w:rPr>
        <w:t>Summus</w:t>
      </w:r>
      <w:proofErr w:type="spellEnd"/>
      <w:r w:rsidRPr="00AD4852">
        <w:rPr>
          <w:sz w:val="24"/>
          <w:szCs w:val="24"/>
        </w:rPr>
        <w:t>, 2015.</w:t>
      </w:r>
    </w:p>
    <w:p w14:paraId="035E7B1F" w14:textId="77777777" w:rsidR="000640AE" w:rsidRPr="00AD4852" w:rsidRDefault="000640AE" w:rsidP="000640AE">
      <w:pPr>
        <w:keepLines/>
        <w:widowControl w:val="0"/>
        <w:spacing w:line="360" w:lineRule="auto"/>
        <w:rPr>
          <w:sz w:val="24"/>
          <w:szCs w:val="24"/>
        </w:rPr>
      </w:pPr>
      <w:r w:rsidRPr="00AD4852">
        <w:rPr>
          <w:sz w:val="24"/>
          <w:szCs w:val="24"/>
        </w:rPr>
        <w:t>SANTOS, Luciene Souza; APOEMA, Luciana; ARAPIRACA, Mary. Contação de Histórias: Seguindo o Curso das Águas. Feira de Santana: UEFS editora, 2018.</w:t>
      </w:r>
    </w:p>
    <w:p w14:paraId="5AA60F15" w14:textId="77777777" w:rsidR="000640AE" w:rsidRPr="00AD4852" w:rsidRDefault="000640AE" w:rsidP="000640AE">
      <w:pPr>
        <w:keepLines/>
        <w:widowControl w:val="0"/>
        <w:spacing w:line="360" w:lineRule="auto"/>
        <w:rPr>
          <w:sz w:val="24"/>
          <w:szCs w:val="24"/>
        </w:rPr>
      </w:pPr>
      <w:r w:rsidRPr="00AD4852">
        <w:rPr>
          <w:sz w:val="24"/>
          <w:szCs w:val="24"/>
        </w:rPr>
        <w:t>VIGOTSKI, Lev S. A formação social da mente. 7. ed. São Paulo: Martins Fontes, 2007.</w:t>
      </w:r>
    </w:p>
    <w:p w14:paraId="2F9D79A7" w14:textId="77777777" w:rsidR="000640AE" w:rsidRPr="00AD4852" w:rsidRDefault="000640AE" w:rsidP="000640AE">
      <w:pPr>
        <w:keepLines/>
        <w:widowControl w:val="0"/>
        <w:spacing w:line="360" w:lineRule="auto"/>
        <w:rPr>
          <w:sz w:val="24"/>
          <w:szCs w:val="24"/>
        </w:rPr>
      </w:pPr>
      <w:r w:rsidRPr="00AD4852">
        <w:rPr>
          <w:sz w:val="24"/>
          <w:szCs w:val="24"/>
        </w:rPr>
        <w:t xml:space="preserve">WALSH, Catherine. Gritos, </w:t>
      </w:r>
      <w:proofErr w:type="spellStart"/>
      <w:r w:rsidRPr="00AD4852">
        <w:rPr>
          <w:sz w:val="24"/>
          <w:szCs w:val="24"/>
        </w:rPr>
        <w:t>grietas</w:t>
      </w:r>
      <w:proofErr w:type="spellEnd"/>
      <w:r w:rsidRPr="00AD4852">
        <w:rPr>
          <w:sz w:val="24"/>
          <w:szCs w:val="24"/>
        </w:rPr>
        <w:t xml:space="preserve"> y </w:t>
      </w:r>
      <w:proofErr w:type="spellStart"/>
      <w:r w:rsidRPr="00AD4852">
        <w:rPr>
          <w:sz w:val="24"/>
          <w:szCs w:val="24"/>
        </w:rPr>
        <w:t>siembras</w:t>
      </w:r>
      <w:proofErr w:type="spellEnd"/>
      <w:r w:rsidRPr="00AD4852">
        <w:rPr>
          <w:sz w:val="24"/>
          <w:szCs w:val="24"/>
        </w:rPr>
        <w:t xml:space="preserve"> de vida. Em: WALSH, C. (org.). </w:t>
      </w:r>
      <w:proofErr w:type="spellStart"/>
      <w:r w:rsidRPr="00AD4852">
        <w:rPr>
          <w:sz w:val="24"/>
          <w:szCs w:val="24"/>
        </w:rPr>
        <w:t>Pedagogías</w:t>
      </w:r>
      <w:proofErr w:type="spellEnd"/>
      <w:r w:rsidRPr="00AD4852">
        <w:rPr>
          <w:sz w:val="24"/>
          <w:szCs w:val="24"/>
        </w:rPr>
        <w:t xml:space="preserve"> </w:t>
      </w:r>
      <w:proofErr w:type="spellStart"/>
      <w:r w:rsidRPr="00AD4852">
        <w:rPr>
          <w:sz w:val="24"/>
          <w:szCs w:val="24"/>
        </w:rPr>
        <w:t>decoloniales</w:t>
      </w:r>
      <w:proofErr w:type="spellEnd"/>
      <w:r w:rsidRPr="00AD4852">
        <w:rPr>
          <w:sz w:val="24"/>
          <w:szCs w:val="24"/>
        </w:rPr>
        <w:t xml:space="preserve">. Tomo II. Quito: </w:t>
      </w:r>
      <w:proofErr w:type="spellStart"/>
      <w:r w:rsidRPr="00AD4852">
        <w:rPr>
          <w:sz w:val="24"/>
          <w:szCs w:val="24"/>
        </w:rPr>
        <w:t>Abya</w:t>
      </w:r>
      <w:proofErr w:type="spellEnd"/>
      <w:r w:rsidRPr="00AD4852">
        <w:rPr>
          <w:sz w:val="24"/>
          <w:szCs w:val="24"/>
        </w:rPr>
        <w:t>-Yala, 2017.</w:t>
      </w:r>
    </w:p>
    <w:p w14:paraId="1598D682" w14:textId="014A504C" w:rsidR="00462131" w:rsidRPr="00AD4852" w:rsidRDefault="00462131" w:rsidP="000640AE">
      <w:pPr>
        <w:keepLines/>
        <w:widowControl w:val="0"/>
        <w:spacing w:before="240" w:after="240" w:line="360" w:lineRule="auto"/>
        <w:rPr>
          <w:b/>
          <w:bCs/>
          <w:sz w:val="24"/>
          <w:szCs w:val="24"/>
        </w:rPr>
      </w:pPr>
    </w:p>
    <w:sectPr w:rsidR="00462131" w:rsidRPr="00AD4852" w:rsidSect="007C7A53">
      <w:headerReference w:type="default" r:id="rId8"/>
      <w:footerReference w:type="default" r:id="rId9"/>
      <w:headerReference w:type="first" r:id="rId10"/>
      <w:footerReference w:type="first" r:id="rId11"/>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6DBD5" w14:textId="77777777" w:rsidR="0099640D" w:rsidRDefault="0099640D">
      <w:pPr>
        <w:spacing w:line="240" w:lineRule="auto"/>
      </w:pPr>
      <w:r>
        <w:separator/>
      </w:r>
    </w:p>
  </w:endnote>
  <w:endnote w:type="continuationSeparator" w:id="0">
    <w:p w14:paraId="2C55A765" w14:textId="77777777" w:rsidR="0099640D" w:rsidRDefault="009964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8B261E-D181-40A1-BABB-A067835A2C14}"/>
  </w:font>
  <w:font w:name="Cambria">
    <w:panose1 w:val="02040503050406030204"/>
    <w:charset w:val="00"/>
    <w:family w:val="roman"/>
    <w:pitch w:val="variable"/>
    <w:sig w:usb0="E00006FF" w:usb1="420024FF" w:usb2="02000000" w:usb3="00000000" w:csb0="0000019F" w:csb1="00000000"/>
    <w:embedRegular r:id="rId2" w:fontKey="{47832231-9DA0-4252-A8B3-5E24F49E49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DA94" w14:textId="77777777" w:rsidR="00462131" w:rsidRDefault="0018285C">
    <w:pPr>
      <w:jc w:val="center"/>
    </w:pPr>
    <w:r>
      <w:fldChar w:fldCharType="begin"/>
    </w:r>
    <w:r>
      <w:instrText>PAGE</w:instrText>
    </w:r>
    <w:r>
      <w:fldChar w:fldCharType="separate"/>
    </w:r>
    <w:r w:rsidR="000640A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7C88" w14:textId="77777777" w:rsidR="00462131" w:rsidRDefault="004621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D667" w14:textId="77777777" w:rsidR="0099640D" w:rsidRDefault="0099640D">
      <w:pPr>
        <w:spacing w:line="240" w:lineRule="auto"/>
      </w:pPr>
      <w:r>
        <w:separator/>
      </w:r>
    </w:p>
  </w:footnote>
  <w:footnote w:type="continuationSeparator" w:id="0">
    <w:p w14:paraId="6A024BF8" w14:textId="77777777" w:rsidR="0099640D" w:rsidRDefault="009964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4F3A" w14:textId="77777777" w:rsidR="00462131" w:rsidRDefault="0018285C">
    <w:pPr>
      <w:jc w:val="right"/>
    </w:pPr>
    <w:r>
      <w:rPr>
        <w:noProof/>
      </w:rPr>
      <w:drawing>
        <wp:anchor distT="0" distB="0" distL="0" distR="0" simplePos="0" relativeHeight="251658240" behindDoc="1" locked="0" layoutInCell="1" hidden="0" allowOverlap="1" wp14:anchorId="706D52F9" wp14:editId="2D1517D0">
          <wp:simplePos x="0" y="0"/>
          <wp:positionH relativeFrom="column">
            <wp:posOffset>5000625</wp:posOffset>
          </wp:positionH>
          <wp:positionV relativeFrom="paragraph">
            <wp:posOffset>8886825</wp:posOffset>
          </wp:positionV>
          <wp:extent cx="1700213" cy="170021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0" distB="0" distL="0" distR="0" simplePos="0" relativeHeight="251659264" behindDoc="1" locked="0" layoutInCell="1" hidden="0" allowOverlap="1" wp14:anchorId="1D3F5C0F" wp14:editId="22BB6898">
          <wp:simplePos x="0" y="0"/>
          <wp:positionH relativeFrom="column">
            <wp:posOffset>5791200</wp:posOffset>
          </wp:positionH>
          <wp:positionV relativeFrom="paragraph">
            <wp:posOffset>-304798</wp:posOffset>
          </wp:positionV>
          <wp:extent cx="664882" cy="7620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17E4181" w14:textId="77777777" w:rsidR="00462131" w:rsidRDefault="00462131">
    <w:pPr>
      <w:jc w:val="right"/>
    </w:pPr>
  </w:p>
  <w:p w14:paraId="73A3DF1B" w14:textId="77777777" w:rsidR="00462131" w:rsidRDefault="00462131">
    <w:pPr>
      <w:jc w:val="right"/>
    </w:pPr>
  </w:p>
  <w:p w14:paraId="70B30890" w14:textId="77777777" w:rsidR="00462131" w:rsidRDefault="0018285C">
    <w:r>
      <w:rPr>
        <w:noProof/>
      </w:rPr>
      <w:drawing>
        <wp:anchor distT="0" distB="0" distL="0" distR="0" simplePos="0" relativeHeight="251660288" behindDoc="1" locked="0" layoutInCell="1" hidden="0" allowOverlap="1" wp14:anchorId="0AA84B17" wp14:editId="755569D9">
          <wp:simplePos x="0" y="0"/>
          <wp:positionH relativeFrom="page">
            <wp:posOffset>0</wp:posOffset>
          </wp:positionH>
          <wp:positionV relativeFrom="page">
            <wp:posOffset>-5713</wp:posOffset>
          </wp:positionV>
          <wp:extent cx="416339" cy="1071657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2583" w14:textId="77777777" w:rsidR="00462131" w:rsidRDefault="004621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0F6F"/>
    <w:multiLevelType w:val="hybridMultilevel"/>
    <w:tmpl w:val="A6BC2990"/>
    <w:lvl w:ilvl="0" w:tplc="FFAAA6F4">
      <w:numFmt w:val="bullet"/>
      <w:lvlText w:val=""/>
      <w:lvlJc w:val="left"/>
      <w:pPr>
        <w:ind w:left="720" w:hanging="360"/>
      </w:pPr>
      <w:rPr>
        <w:rFonts w:ascii="Symbol" w:hAnsi="Symbol"/>
      </w:rPr>
    </w:lvl>
    <w:lvl w:ilvl="1" w:tplc="48507534">
      <w:numFmt w:val="bullet"/>
      <w:lvlText w:val="o"/>
      <w:lvlJc w:val="left"/>
      <w:pPr>
        <w:ind w:left="1440" w:hanging="1080"/>
      </w:pPr>
      <w:rPr>
        <w:rFonts w:ascii="Courier New" w:hAnsi="Courier New"/>
      </w:rPr>
    </w:lvl>
    <w:lvl w:ilvl="2" w:tplc="BA248BB6">
      <w:numFmt w:val="bullet"/>
      <w:lvlText w:val=""/>
      <w:lvlJc w:val="left"/>
      <w:pPr>
        <w:ind w:left="2160" w:hanging="1800"/>
      </w:pPr>
    </w:lvl>
    <w:lvl w:ilvl="3" w:tplc="6EE6E442">
      <w:numFmt w:val="bullet"/>
      <w:lvlText w:val=""/>
      <w:lvlJc w:val="left"/>
      <w:pPr>
        <w:ind w:left="2880" w:hanging="2520"/>
      </w:pPr>
      <w:rPr>
        <w:rFonts w:ascii="Symbol" w:hAnsi="Symbol"/>
      </w:rPr>
    </w:lvl>
    <w:lvl w:ilvl="4" w:tplc="7BC25AF4">
      <w:numFmt w:val="bullet"/>
      <w:lvlText w:val="o"/>
      <w:lvlJc w:val="left"/>
      <w:pPr>
        <w:ind w:left="3600" w:hanging="3240"/>
      </w:pPr>
      <w:rPr>
        <w:rFonts w:ascii="Courier New" w:hAnsi="Courier New"/>
      </w:rPr>
    </w:lvl>
    <w:lvl w:ilvl="5" w:tplc="AEA22544">
      <w:numFmt w:val="bullet"/>
      <w:lvlText w:val=""/>
      <w:lvlJc w:val="left"/>
      <w:pPr>
        <w:ind w:left="4320" w:hanging="3960"/>
      </w:pPr>
    </w:lvl>
    <w:lvl w:ilvl="6" w:tplc="FE34B8F4">
      <w:numFmt w:val="bullet"/>
      <w:lvlText w:val=""/>
      <w:lvlJc w:val="left"/>
      <w:pPr>
        <w:ind w:left="5040" w:hanging="4680"/>
      </w:pPr>
      <w:rPr>
        <w:rFonts w:ascii="Symbol" w:hAnsi="Symbol"/>
      </w:rPr>
    </w:lvl>
    <w:lvl w:ilvl="7" w:tplc="E45649B2">
      <w:numFmt w:val="bullet"/>
      <w:lvlText w:val="o"/>
      <w:lvlJc w:val="left"/>
      <w:pPr>
        <w:ind w:left="5760" w:hanging="5400"/>
      </w:pPr>
      <w:rPr>
        <w:rFonts w:ascii="Courier New" w:hAnsi="Courier New"/>
      </w:rPr>
    </w:lvl>
    <w:lvl w:ilvl="8" w:tplc="BD9C918E">
      <w:numFmt w:val="bullet"/>
      <w:lvlText w:val=""/>
      <w:lvlJc w:val="left"/>
      <w:pPr>
        <w:ind w:left="6480" w:hanging="6120"/>
      </w:pPr>
    </w:lvl>
  </w:abstractNum>
  <w:abstractNum w:abstractNumId="1" w15:restartNumberingAfterBreak="0">
    <w:nsid w:val="3BBA1898"/>
    <w:multiLevelType w:val="hybridMultilevel"/>
    <w:tmpl w:val="8D28C5E6"/>
    <w:lvl w:ilvl="0" w:tplc="AB00B56A">
      <w:start w:val="1"/>
      <w:numFmt w:val="decimal"/>
      <w:lvlText w:val="%1."/>
      <w:lvlJc w:val="left"/>
      <w:pPr>
        <w:ind w:left="720" w:hanging="360"/>
      </w:pPr>
    </w:lvl>
    <w:lvl w:ilvl="1" w:tplc="1A4C1C02">
      <w:start w:val="1"/>
      <w:numFmt w:val="decimal"/>
      <w:lvlText w:val="%2."/>
      <w:lvlJc w:val="left"/>
      <w:pPr>
        <w:ind w:left="1440" w:hanging="1080"/>
      </w:pPr>
    </w:lvl>
    <w:lvl w:ilvl="2" w:tplc="C262DC1A">
      <w:start w:val="1"/>
      <w:numFmt w:val="decimal"/>
      <w:lvlText w:val="%3."/>
      <w:lvlJc w:val="left"/>
      <w:pPr>
        <w:ind w:left="2160" w:hanging="1980"/>
      </w:pPr>
    </w:lvl>
    <w:lvl w:ilvl="3" w:tplc="85FA670A">
      <w:start w:val="1"/>
      <w:numFmt w:val="decimal"/>
      <w:lvlText w:val="%4."/>
      <w:lvlJc w:val="left"/>
      <w:pPr>
        <w:ind w:left="2880" w:hanging="2520"/>
      </w:pPr>
    </w:lvl>
    <w:lvl w:ilvl="4" w:tplc="7E0AA1DA">
      <w:start w:val="1"/>
      <w:numFmt w:val="decimal"/>
      <w:lvlText w:val="%5."/>
      <w:lvlJc w:val="left"/>
      <w:pPr>
        <w:ind w:left="3600" w:hanging="3240"/>
      </w:pPr>
    </w:lvl>
    <w:lvl w:ilvl="5" w:tplc="B03EEE4C">
      <w:start w:val="1"/>
      <w:numFmt w:val="decimal"/>
      <w:lvlText w:val="%6."/>
      <w:lvlJc w:val="left"/>
      <w:pPr>
        <w:ind w:left="4320" w:hanging="4140"/>
      </w:pPr>
    </w:lvl>
    <w:lvl w:ilvl="6" w:tplc="7EA269D8">
      <w:start w:val="1"/>
      <w:numFmt w:val="decimal"/>
      <w:lvlText w:val="%7."/>
      <w:lvlJc w:val="left"/>
      <w:pPr>
        <w:ind w:left="5040" w:hanging="4680"/>
      </w:pPr>
    </w:lvl>
    <w:lvl w:ilvl="7" w:tplc="DAAA4A78">
      <w:start w:val="1"/>
      <w:numFmt w:val="decimal"/>
      <w:lvlText w:val="%8."/>
      <w:lvlJc w:val="left"/>
      <w:pPr>
        <w:ind w:left="5760" w:hanging="5400"/>
      </w:pPr>
    </w:lvl>
    <w:lvl w:ilvl="8" w:tplc="65A85C66">
      <w:start w:val="1"/>
      <w:numFmt w:val="decimal"/>
      <w:lvlText w:val="%9."/>
      <w:lvlJc w:val="left"/>
      <w:pPr>
        <w:ind w:left="6480" w:hanging="6300"/>
      </w:pPr>
    </w:lvl>
  </w:abstractNum>
  <w:num w:numId="1" w16cid:durableId="1467776137">
    <w:abstractNumId w:val="0"/>
  </w:num>
  <w:num w:numId="2" w16cid:durableId="1160460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131"/>
    <w:rsid w:val="000640AE"/>
    <w:rsid w:val="00150BA3"/>
    <w:rsid w:val="0018285C"/>
    <w:rsid w:val="001F0908"/>
    <w:rsid w:val="001F533E"/>
    <w:rsid w:val="002226F7"/>
    <w:rsid w:val="003877B8"/>
    <w:rsid w:val="00462131"/>
    <w:rsid w:val="00482561"/>
    <w:rsid w:val="00673536"/>
    <w:rsid w:val="0069389D"/>
    <w:rsid w:val="007B5FF0"/>
    <w:rsid w:val="007C7A53"/>
    <w:rsid w:val="008E2D9F"/>
    <w:rsid w:val="009004E9"/>
    <w:rsid w:val="00952DF0"/>
    <w:rsid w:val="0099640D"/>
    <w:rsid w:val="00A548BC"/>
    <w:rsid w:val="00AD4852"/>
    <w:rsid w:val="00C3529D"/>
    <w:rsid w:val="00E2571B"/>
    <w:rsid w:val="00E761C2"/>
    <w:rsid w:val="00F647D1"/>
    <w:rsid w:val="00F876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AFDD"/>
  <w15:docId w15:val="{05C038CA-F536-4F35-93E2-CD12003C8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0640AE"/>
    <w:rPr>
      <w:color w:val="0000FF" w:themeColor="hyperlink"/>
      <w:u w:val="single"/>
    </w:rPr>
  </w:style>
  <w:style w:type="character" w:styleId="MenoPendente">
    <w:name w:val="Unresolved Mention"/>
    <w:basedOn w:val="Fontepargpadro"/>
    <w:uiPriority w:val="99"/>
    <w:semiHidden/>
    <w:unhideWhenUsed/>
    <w:rsid w:val="00064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DBEDD-CCDB-40B4-AB1A-839579812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1025</Words>
  <Characters>6266</Characters>
  <Application>Microsoft Office Word</Application>
  <DocSecurity>0</DocSecurity>
  <Lines>102</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Jaqueline Pita</cp:lastModifiedBy>
  <cp:revision>2</cp:revision>
  <dcterms:created xsi:type="dcterms:W3CDTF">2026-08-16T23:31:00Z</dcterms:created>
  <dcterms:modified xsi:type="dcterms:W3CDTF">2026-08-16T23:31:00Z</dcterms:modified>
</cp:coreProperties>
</file>