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ED1" w:rsidRDefault="00A5069A">
      <w:pPr>
        <w:keepLines/>
        <w:widowControl w:val="0"/>
        <w:spacing w:line="240" w:lineRule="auto"/>
        <w:jc w:val="center"/>
        <w:rPr>
          <w:b/>
          <w:bCs/>
          <w:sz w:val="24"/>
          <w:szCs w:val="24"/>
        </w:rPr>
      </w:pPr>
      <w:r>
        <w:rPr>
          <w:b/>
          <w:bCs/>
          <w:sz w:val="24"/>
          <w:szCs w:val="24"/>
        </w:rPr>
        <w:t>NOME DO CONVERSATÓRIO PARA O QUAL O TRABALHO FOI SUBMETIDO</w:t>
      </w:r>
    </w:p>
    <w:p w:rsidR="00DF4ED1" w:rsidRDefault="00A87555" w:rsidP="00A87555">
      <w:pPr>
        <w:keepLines/>
        <w:widowControl w:val="0"/>
        <w:spacing w:line="240" w:lineRule="auto"/>
        <w:jc w:val="center"/>
        <w:rPr>
          <w:b/>
          <w:bCs/>
          <w:sz w:val="24"/>
          <w:szCs w:val="24"/>
        </w:rPr>
      </w:pPr>
      <w:r w:rsidRPr="00A87555">
        <w:rPr>
          <w:sz w:val="24"/>
          <w:szCs w:val="24"/>
        </w:rPr>
        <w:t>Conversatório 14 - Encontro de Saberes: diálogos interculturais e</w:t>
      </w:r>
      <w:r>
        <w:rPr>
          <w:sz w:val="24"/>
          <w:szCs w:val="24"/>
        </w:rPr>
        <w:t xml:space="preserve"> </w:t>
      </w:r>
      <w:r w:rsidRPr="00A87555">
        <w:rPr>
          <w:sz w:val="24"/>
          <w:szCs w:val="24"/>
        </w:rPr>
        <w:t>interepistêmicos entre a academia e os Povos e Comunidades</w:t>
      </w:r>
      <w:r>
        <w:rPr>
          <w:sz w:val="24"/>
          <w:szCs w:val="24"/>
        </w:rPr>
        <w:t xml:space="preserve"> </w:t>
      </w:r>
      <w:r w:rsidRPr="00A87555">
        <w:rPr>
          <w:sz w:val="24"/>
          <w:szCs w:val="24"/>
        </w:rPr>
        <w:t>Tradicionais</w:t>
      </w:r>
    </w:p>
    <w:p w:rsidR="00DF4ED1" w:rsidRDefault="00DF4ED1">
      <w:pPr>
        <w:keepLines/>
        <w:widowControl w:val="0"/>
        <w:spacing w:line="240" w:lineRule="auto"/>
        <w:rPr>
          <w:b/>
          <w:bCs/>
          <w:sz w:val="24"/>
          <w:szCs w:val="24"/>
        </w:rPr>
      </w:pPr>
    </w:p>
    <w:p w:rsidR="00DF4ED1" w:rsidRDefault="00A5069A">
      <w:pPr>
        <w:keepLines/>
        <w:widowControl w:val="0"/>
        <w:spacing w:line="240" w:lineRule="auto"/>
        <w:jc w:val="center"/>
        <w:rPr>
          <w:b/>
          <w:bCs/>
          <w:sz w:val="24"/>
          <w:szCs w:val="24"/>
        </w:rPr>
      </w:pPr>
      <w:r>
        <w:rPr>
          <w:b/>
          <w:bCs/>
          <w:sz w:val="24"/>
          <w:szCs w:val="24"/>
        </w:rPr>
        <w:t xml:space="preserve"> TÍTULO DO TRABALHO </w:t>
      </w:r>
    </w:p>
    <w:p w:rsidR="00A87555" w:rsidRPr="00A87555" w:rsidRDefault="00A87555" w:rsidP="00A87555">
      <w:pPr>
        <w:keepLines/>
        <w:widowControl w:val="0"/>
        <w:spacing w:line="240" w:lineRule="auto"/>
        <w:jc w:val="center"/>
        <w:rPr>
          <w:sz w:val="24"/>
          <w:szCs w:val="24"/>
        </w:rPr>
      </w:pPr>
      <w:r w:rsidRPr="00A87555">
        <w:rPr>
          <w:sz w:val="24"/>
          <w:szCs w:val="24"/>
        </w:rPr>
        <w:t>Oratura e Escrita: A Construção dos Memoriais dos mestres de tradições para o reconhecimento de Notório Saber.</w:t>
      </w:r>
    </w:p>
    <w:p w:rsidR="00DF4ED1" w:rsidRDefault="00DF4ED1">
      <w:pPr>
        <w:keepLines/>
        <w:widowControl w:val="0"/>
        <w:spacing w:line="240" w:lineRule="auto"/>
        <w:rPr>
          <w:sz w:val="24"/>
          <w:szCs w:val="24"/>
        </w:rPr>
      </w:pPr>
    </w:p>
    <w:p w:rsidR="00DF4ED1" w:rsidRDefault="00DF4ED1">
      <w:pPr>
        <w:keepLines/>
        <w:widowControl w:val="0"/>
        <w:spacing w:line="240" w:lineRule="auto"/>
        <w:jc w:val="right"/>
        <w:rPr>
          <w:sz w:val="24"/>
          <w:szCs w:val="24"/>
        </w:rPr>
      </w:pPr>
    </w:p>
    <w:p w:rsidR="00DF4ED1" w:rsidRDefault="00A87555">
      <w:pPr>
        <w:keepLines/>
        <w:widowControl w:val="0"/>
        <w:spacing w:line="240" w:lineRule="auto"/>
        <w:jc w:val="right"/>
        <w:rPr>
          <w:sz w:val="24"/>
          <w:szCs w:val="24"/>
        </w:rPr>
      </w:pPr>
      <w:r>
        <w:rPr>
          <w:sz w:val="24"/>
          <w:szCs w:val="24"/>
        </w:rPr>
        <w:t>Daniel Bitter, Universidade Federal Fluminense, danielbitter@gmail.com</w:t>
      </w:r>
    </w:p>
    <w:p w:rsidR="00DF4ED1" w:rsidRDefault="00DF4ED1">
      <w:pPr>
        <w:keepLines/>
        <w:widowControl w:val="0"/>
        <w:spacing w:line="240" w:lineRule="auto"/>
        <w:rPr>
          <w:sz w:val="24"/>
          <w:szCs w:val="24"/>
        </w:rPr>
      </w:pPr>
    </w:p>
    <w:p w:rsidR="00DF4ED1" w:rsidRDefault="00DF4ED1">
      <w:pPr>
        <w:keepLines/>
        <w:widowControl w:val="0"/>
        <w:spacing w:line="240" w:lineRule="auto"/>
        <w:rPr>
          <w:sz w:val="24"/>
          <w:szCs w:val="24"/>
        </w:rPr>
      </w:pPr>
    </w:p>
    <w:p w:rsidR="00DF4ED1" w:rsidRDefault="00DF4ED1">
      <w:pPr>
        <w:keepLines/>
        <w:widowControl w:val="0"/>
        <w:spacing w:line="360" w:lineRule="auto"/>
        <w:rPr>
          <w:b/>
          <w:bCs/>
          <w:sz w:val="24"/>
          <w:szCs w:val="24"/>
        </w:rPr>
      </w:pPr>
    </w:p>
    <w:p w:rsidR="00DF4ED1" w:rsidRDefault="00A5069A">
      <w:pPr>
        <w:keepLines/>
        <w:widowControl w:val="0"/>
        <w:spacing w:line="360" w:lineRule="auto"/>
        <w:rPr>
          <w:b/>
          <w:bCs/>
          <w:sz w:val="24"/>
          <w:szCs w:val="24"/>
        </w:rPr>
      </w:pPr>
      <w:r>
        <w:rPr>
          <w:b/>
          <w:bCs/>
          <w:sz w:val="24"/>
          <w:szCs w:val="24"/>
        </w:rPr>
        <w:t>RESUMO</w:t>
      </w:r>
    </w:p>
    <w:p w:rsidR="00DF4ED1" w:rsidRDefault="00DF4ED1">
      <w:pPr>
        <w:keepLines/>
        <w:widowControl w:val="0"/>
        <w:spacing w:line="360" w:lineRule="auto"/>
        <w:rPr>
          <w:b/>
          <w:bCs/>
          <w:sz w:val="24"/>
          <w:szCs w:val="24"/>
        </w:rPr>
      </w:pPr>
    </w:p>
    <w:p w:rsidR="00A87555" w:rsidRPr="00A87555" w:rsidRDefault="00A87555" w:rsidP="00A87555">
      <w:pPr>
        <w:keepLines/>
        <w:widowControl w:val="0"/>
        <w:spacing w:line="360" w:lineRule="auto"/>
        <w:jc w:val="both"/>
        <w:rPr>
          <w:sz w:val="24"/>
          <w:szCs w:val="24"/>
        </w:rPr>
      </w:pPr>
      <w:r w:rsidRPr="00A87555">
        <w:rPr>
          <w:sz w:val="24"/>
          <w:szCs w:val="24"/>
        </w:rPr>
        <w:t>Um dos requisitos para a instrução dos processos de reconhecimento de Notório Saber dos mestres e mestras de tradição em diversas universidades brasileiras é a elaboração de um memorial que apresente a sua trajetória e evidencie sua destacada experiência e seu saber. O documento é um registro de narrativas de vida, acompanhado de documentação comprobatória de variada natureza: escrita, fílmica, jornalística, sonora, audiovisual, fotográfica, dentre outros. Trata-se, portanto, de um objeto central neste processo que culmina na outorga do título a pessoas que são reconhecidas como referência em suas comunidades, e responsáveis por criar, manter e transmitir esses saberes e práticas entre gerações. Sua importância vai além de um mero componente na instrução do processo, consistindo no produto de trabalho, muitas vezes resultante da ação de muitas pessoas, para expressar os saberes de um mestre ou mestra adquiridos ao longo da vida. Além disso, o memorial é um documento que passa a ser incluído na produção acadêmica da Universidade. Este é um ponto crucial, pois trata-se de assinalar que a difusão dos memoriais no ambiente universitário é um dos caminhos para a inclusão e diversificação epistêmica. Trata-se de um processo de “ocupação bibliográfica” por meio de publicações dos mestres e mestras, muitas vezes em coautoria com docentes e estudantes. </w:t>
      </w:r>
    </w:p>
    <w:p w:rsidR="00A87555" w:rsidRPr="00A87555" w:rsidRDefault="00A87555" w:rsidP="00A87555">
      <w:pPr>
        <w:keepLines/>
        <w:widowControl w:val="0"/>
        <w:spacing w:line="360" w:lineRule="auto"/>
        <w:jc w:val="both"/>
        <w:rPr>
          <w:sz w:val="24"/>
          <w:szCs w:val="24"/>
        </w:rPr>
      </w:pPr>
      <w:r w:rsidRPr="00A87555">
        <w:rPr>
          <w:sz w:val="24"/>
          <w:szCs w:val="24"/>
        </w:rPr>
        <w:lastRenderedPageBreak/>
        <w:t>Por todas estas razões, a feitura dos memoriais de mestres e mestras de tradições é o objeto desta reflexão. Com esse propósito, reflito aqui sobre o diálogo entre oralidade e escrita e sobre a natureza da memória a partir de alguns autores e referências. O ponto de partida é assumir que existe uma complementaridade entre o oral e o escrito e que o memorial pode ser um espaço de diálogo, de resistência epistemológica, mas também, de tensão em meio a dois regimes de conhecimento distintos: o oral e o escrito. Pa</w:t>
      </w:r>
      <w:r>
        <w:rPr>
          <w:sz w:val="24"/>
          <w:szCs w:val="24"/>
        </w:rPr>
        <w:t>ra entender o amalgamento dessas modalidades de memórias</w:t>
      </w:r>
      <w:r w:rsidRPr="00A87555">
        <w:rPr>
          <w:sz w:val="24"/>
          <w:szCs w:val="24"/>
        </w:rPr>
        <w:t>, recorro às reflexões de James Fentress e Chris Wickham, que distinguem a escrita como a "memória das palavras" e a oralidade como a "memória das coisas". Na escrita, o conhecimento é um registro físico "congelado" e autônomo; na oralidade, ele ancora-se em sons, imagens e metáforas, necessitando de realidades concretas para ser retido. O escritor Amadou Hampaté Bâ ilustra essa vivacidade ao descrever ofícios tradicionais como linguagens mnemônicas onde o gesto materializa o sagrado. Para ele, "a escrita é a fotografia do saber, mas não o saber em si", que seria uma luz viva no homem. Diferente de uma repetição mecânica, Jack Goody demonstrou que as recitações orais, como o "Mito do Bagre", possuem enorme variabilidade e criatividade, o que permite à tradição permanecer viva. </w:t>
      </w:r>
    </w:p>
    <w:p w:rsidR="00A87555" w:rsidRPr="00A87555" w:rsidRDefault="00A87555" w:rsidP="00A87555">
      <w:pPr>
        <w:keepLines/>
        <w:widowControl w:val="0"/>
        <w:spacing w:line="360" w:lineRule="auto"/>
        <w:jc w:val="both"/>
        <w:rPr>
          <w:sz w:val="24"/>
          <w:szCs w:val="24"/>
        </w:rPr>
      </w:pPr>
      <w:r w:rsidRPr="00A87555">
        <w:rPr>
          <w:sz w:val="24"/>
          <w:szCs w:val="24"/>
        </w:rPr>
        <w:lastRenderedPageBreak/>
        <w:t>Se na Grécia Arcaica a memória migrou de um poder religioso místico para uma técnica racional da pólis, nas tradições indígenas e afro-diaspóricas ela se mantém como um sistema de conhecimento sagrado e integrado. Nessas sociedades, o homem está visceralmente ligado à palavra: "ele é a palavra". O saber é inseparável da pessoa, desafiando a mentalidade cartesiana que fragmenta o conhecimento em categorias isoladas. Nesse contexto, o termo "oratura", proposto por Pio Zirimu e Ngũgĩ wa Thiong'o, surge como defesa da dignidade estética das artes orais, posicionando o "orato" e o "letrado" como aliados naturais que representam a experiência de formas diferentes. No Brasil, essa reflexão é ampliada pelos conceitos de "escrevivência", de Conceição Evaristo, e "oralitura", de Leda Maria Martins. A escrevivência transcende a autobiografia ao registrar a história de um corpo atravessado pela ancestralidade e por lutas coletivas</w:t>
      </w:r>
      <w:r>
        <w:rPr>
          <w:sz w:val="24"/>
          <w:szCs w:val="24"/>
        </w:rPr>
        <w:t xml:space="preserve"> de mulheres negras</w:t>
      </w:r>
      <w:r w:rsidRPr="00A87555">
        <w:rPr>
          <w:sz w:val="24"/>
          <w:szCs w:val="24"/>
        </w:rPr>
        <w:t xml:space="preserve">. Já a oralitura define a inscrição do conhecimento por meio da performance do corpo e da memória em movimento. Paralelamente, o movimento antilhano da "créolité" utiliza a escrita como via de conservação da memória coletiva forjada na oralidade, resistindo à imposição colonial. Inspirado por essas experiências, o grupo Encontro de Saberes da UFF busca produzir memoriais com uma "escrita oralizada", que respeite dimensões prosódicas, entonações e a função social da fala. A metodologia exige respeito à circularidade da memória e ao que Leda Martins chama de "tempo espiralar", onde o enredo é episódico e não obedece a uma linearidade cronológica rigorosa. O memorial torna-se, assim, uma construção coletiva onde o protagonismo pertence ao percurso da mestra, imerso em suas tradições. Um exemplo vivo desse processo é o memorial de Mãe Márcia du Sàkpáta, sacerdotisa da tradição Jeje-Mahi. Seu texto é fruto de uma pesquisa compartilhada onde sua voz se mistura a outras em uma escrita que reverbera memórias de uma vida dedicada aos Voduns. Mãe Márcia nos conduz por seu solo sagrado em Nova Iguaçu. Para ela, o conhecimento ancestral é natural, aprendido no viver e no transmitir oralmente. O ensinamento ocorre na fala, na repetição e, sobretudo, no corpo. A mestra ressalta que, embora existam diferentes línguas e formas de tomar bênção (Kolofé, Motumbá, Mukuiu), a essência da oralidade é única, permitindo a troca e o reconhecimento entre diversas etnias de matriz africana no Brasil. O memorial, portanto, ao registrar essas vozes, não apenas documenta uma trajetória, mas atua como um ato de preservação de uma </w:t>
      </w:r>
      <w:r w:rsidRPr="00A87555">
        <w:rPr>
          <w:sz w:val="24"/>
          <w:szCs w:val="24"/>
        </w:rPr>
        <w:lastRenderedPageBreak/>
        <w:t>"tradição viva", onde o narrador, como propõe Walter Benjamin, molda a matéria da vida em histórias que permanecem abertas à interpretação e ao aprendizado.</w:t>
      </w:r>
    </w:p>
    <w:p w:rsidR="00DF4ED1" w:rsidRDefault="00DF4ED1">
      <w:pPr>
        <w:keepLines/>
        <w:widowControl w:val="0"/>
        <w:spacing w:line="360" w:lineRule="auto"/>
        <w:jc w:val="both"/>
        <w:rPr>
          <w:sz w:val="24"/>
          <w:szCs w:val="24"/>
        </w:rPr>
      </w:pPr>
    </w:p>
    <w:p w:rsidR="00DF4ED1" w:rsidRDefault="00A5069A">
      <w:pPr>
        <w:keepLines/>
        <w:widowControl w:val="0"/>
        <w:spacing w:line="360" w:lineRule="auto"/>
        <w:jc w:val="both"/>
        <w:rPr>
          <w:b/>
          <w:bCs/>
          <w:sz w:val="24"/>
          <w:szCs w:val="24"/>
        </w:rPr>
      </w:pPr>
      <w:r>
        <w:rPr>
          <w:b/>
          <w:bCs/>
          <w:sz w:val="24"/>
          <w:szCs w:val="24"/>
        </w:rPr>
        <w:t>PALAVRAS-CHAVE</w:t>
      </w:r>
    </w:p>
    <w:p w:rsidR="00DF4ED1" w:rsidRDefault="00A87555">
      <w:pPr>
        <w:keepLines/>
        <w:widowControl w:val="0"/>
        <w:spacing w:line="240" w:lineRule="auto"/>
        <w:rPr>
          <w:sz w:val="24"/>
          <w:szCs w:val="24"/>
        </w:rPr>
      </w:pPr>
      <w:r>
        <w:rPr>
          <w:sz w:val="24"/>
          <w:szCs w:val="24"/>
        </w:rPr>
        <w:t>Oratura; escrita; Notório saber; Encontro de Saberes; tradições brasileiras</w:t>
      </w:r>
    </w:p>
    <w:p w:rsidR="00DF4ED1" w:rsidRDefault="00DF4ED1">
      <w:pPr>
        <w:keepLines/>
        <w:widowControl w:val="0"/>
        <w:spacing w:line="240" w:lineRule="auto"/>
        <w:rPr>
          <w:b/>
          <w:bCs/>
          <w:sz w:val="24"/>
          <w:szCs w:val="24"/>
        </w:rPr>
      </w:pPr>
      <w:bookmarkStart w:id="0" w:name="_GoBack"/>
      <w:bookmarkEnd w:id="0"/>
    </w:p>
    <w:p w:rsidR="00DF4ED1" w:rsidRDefault="00A5069A">
      <w:pPr>
        <w:keepLines/>
        <w:widowControl w:val="0"/>
        <w:spacing w:line="240" w:lineRule="auto"/>
        <w:rPr>
          <w:sz w:val="24"/>
          <w:szCs w:val="24"/>
        </w:rPr>
      </w:pPr>
      <w:r>
        <w:rPr>
          <w:b/>
          <w:bCs/>
          <w:sz w:val="24"/>
          <w:szCs w:val="24"/>
        </w:rPr>
        <w:t>REFERÊNCIAS</w:t>
      </w:r>
      <w:r>
        <w:rPr>
          <w:sz w:val="24"/>
          <w:szCs w:val="24"/>
        </w:rPr>
        <w:t xml:space="preserve"> </w:t>
      </w:r>
    </w:p>
    <w:p w:rsidR="00A87555" w:rsidRDefault="00A87555">
      <w:pPr>
        <w:keepLines/>
        <w:widowControl w:val="0"/>
        <w:spacing w:line="240" w:lineRule="auto"/>
        <w:rPr>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BENJAMIN, Walter. "O narrador: Considerações sobre a obra de Nikolai Leskov". In: Magia e técnica, arte e política: ensaios sobre literatura e história da cultura. (Obras escolhidas, vol. 1). Tradução de Sérgio Paulo Rouanet. 3ª ed. São Paulo: Brasiliense, 1987</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lang w:val="en-US"/>
        </w:rPr>
        <w:t xml:space="preserve">BERNABÉ, Jean; CHAMOISEAU, Patrick; CONFIANT, Raphaël. </w:t>
      </w:r>
      <w:r w:rsidRPr="00A87555">
        <w:rPr>
          <w:rFonts w:eastAsia="Times New Roman"/>
          <w:color w:val="000000"/>
        </w:rPr>
        <w:t>Éloge de La Créolité. Paris: Éditions Gallimard, 1992</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DETIENNE, Marcel. Os mestres da verdade na Grécia Arcaica. Tradução de Andréa Daher. Rio de Janeiro: Jorge Zahar, 1988</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FANON, Frantz. Pele Negra, Máscaras Brancas. Tradução de Renato da Silveira. Salvador: EDUFBA, 2008</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FENTRESS, James; WICKHAM, Chris. Memória Social: Novas perspectivas sobre o passado. Tradução de Telma Costa. Lisboa: Teorema, 1992</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lang w:val="en-US"/>
        </w:rPr>
        <w:t xml:space="preserve">GOODY, Jack. Myth, Ritual and the Oral. </w:t>
      </w:r>
      <w:r w:rsidRPr="00A87555">
        <w:rPr>
          <w:rFonts w:eastAsia="Times New Roman"/>
          <w:color w:val="000000"/>
        </w:rPr>
        <w:t>Cambridge: Cambridge University Press, 2010</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lang w:val="en-US"/>
        </w:rPr>
      </w:pPr>
      <w:r w:rsidRPr="00A87555">
        <w:rPr>
          <w:rFonts w:eastAsia="Times New Roman"/>
          <w:color w:val="000000"/>
        </w:rPr>
        <w:t xml:space="preserve">HAMPATÉ BÂ, Amadou. "A tradição viva". </w:t>
      </w:r>
      <w:r w:rsidRPr="00A87555">
        <w:rPr>
          <w:rFonts w:eastAsia="Times New Roman"/>
          <w:color w:val="000000"/>
          <w:lang w:val="en-US"/>
        </w:rPr>
        <w:t xml:space="preserve">In: KI-ZERBO, Joseph (Ed.). </w:t>
      </w:r>
      <w:r w:rsidRPr="00A87555">
        <w:rPr>
          <w:rFonts w:eastAsia="Times New Roman"/>
          <w:color w:val="000000"/>
        </w:rPr>
        <w:t xml:space="preserve">História Geral da África, I: Metodologia e pré-história da África. </w:t>
      </w:r>
      <w:r w:rsidRPr="00A87555">
        <w:rPr>
          <w:rFonts w:eastAsia="Times New Roman"/>
          <w:color w:val="000000"/>
          <w:lang w:val="en-US"/>
        </w:rPr>
        <w:t>2. ed. rev. Brasília: UNESCO, 2010. pp. 167-212</w:t>
      </w:r>
    </w:p>
    <w:p w:rsidR="00A87555" w:rsidRPr="00A87555" w:rsidRDefault="00A87555" w:rsidP="00A87555">
      <w:pPr>
        <w:spacing w:line="240" w:lineRule="auto"/>
        <w:rPr>
          <w:rFonts w:ascii="Times New Roman" w:eastAsia="Times New Roman" w:hAnsi="Times New Roman" w:cs="Times New Roman"/>
          <w:sz w:val="24"/>
          <w:szCs w:val="24"/>
          <w:lang w:val="en-US"/>
        </w:rPr>
      </w:pPr>
    </w:p>
    <w:p w:rsidR="00A87555" w:rsidRPr="00A87555" w:rsidRDefault="00A87555" w:rsidP="00A87555">
      <w:pPr>
        <w:spacing w:line="240" w:lineRule="auto"/>
        <w:rPr>
          <w:rFonts w:ascii="Times New Roman" w:eastAsia="Times New Roman" w:hAnsi="Times New Roman" w:cs="Times New Roman"/>
          <w:sz w:val="24"/>
          <w:szCs w:val="24"/>
          <w:lang w:val="en-US"/>
        </w:rPr>
      </w:pPr>
      <w:r w:rsidRPr="00A87555">
        <w:rPr>
          <w:rFonts w:eastAsia="Times New Roman"/>
          <w:color w:val="000000"/>
          <w:lang w:val="en-US"/>
        </w:rPr>
        <w:t>LORD, Albert. The Singer of Tales. Cambridge, MA: Harvard University Press, 1960</w:t>
      </w:r>
    </w:p>
    <w:p w:rsidR="00A87555" w:rsidRPr="00A87555" w:rsidRDefault="00A87555" w:rsidP="00A87555">
      <w:pPr>
        <w:spacing w:line="240" w:lineRule="auto"/>
        <w:rPr>
          <w:rFonts w:ascii="Times New Roman" w:eastAsia="Times New Roman" w:hAnsi="Times New Roman" w:cs="Times New Roman"/>
          <w:sz w:val="24"/>
          <w:szCs w:val="24"/>
          <w:lang w:val="en-US"/>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ONG, Walter. Oralidade e cultura escrita: A Tecnologização da Palavra. Tradução de Enid Abreu Dobránszky. Campinas, SP: Papirus, 1998</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 xml:space="preserve">PARRY, Milman. </w:t>
      </w:r>
      <w:r w:rsidRPr="00A87555">
        <w:rPr>
          <w:rFonts w:eastAsia="Times New Roman"/>
          <w:color w:val="000000"/>
          <w:lang w:val="en-US"/>
        </w:rPr>
        <w:t xml:space="preserve">The Making of Homeric Verse: The Collected Papers of Milman Parry. </w:t>
      </w:r>
      <w:r w:rsidRPr="00A87555">
        <w:rPr>
          <w:rFonts w:eastAsia="Times New Roman"/>
          <w:color w:val="000000"/>
        </w:rPr>
        <w:t>Ed. Adam Parry. Oxford: Clarendon Press, 1971</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SANTOS, Margarete Nascimento dos. "Entre o oral e o escrito: a criação de uma oralitura". Babel: Revista Eletrônica de Línguas e Literaturas Estrangeiras, n. 01, dezembro de 2011</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VERNANT, J. P. "Aspectos míticos da memória e do tempo". In: Mito e pensamento entre os gregos. Rio de Janeiro: Paz e Terra, 1990. pp. 133-186</w:t>
      </w:r>
    </w:p>
    <w:p w:rsidR="00A87555" w:rsidRPr="00A87555" w:rsidRDefault="00A87555" w:rsidP="00A87555">
      <w:pPr>
        <w:spacing w:line="240" w:lineRule="auto"/>
        <w:rPr>
          <w:rFonts w:ascii="Times New Roman" w:eastAsia="Times New Roman" w:hAnsi="Times New Roman" w:cs="Times New Roman"/>
          <w:sz w:val="24"/>
          <w:szCs w:val="24"/>
        </w:rPr>
      </w:pPr>
    </w:p>
    <w:p w:rsidR="00A87555" w:rsidRPr="00A87555" w:rsidRDefault="00A87555" w:rsidP="00A87555">
      <w:pPr>
        <w:spacing w:line="240" w:lineRule="auto"/>
        <w:rPr>
          <w:rFonts w:ascii="Times New Roman" w:eastAsia="Times New Roman" w:hAnsi="Times New Roman" w:cs="Times New Roman"/>
          <w:sz w:val="24"/>
          <w:szCs w:val="24"/>
        </w:rPr>
      </w:pPr>
      <w:r w:rsidRPr="00A87555">
        <w:rPr>
          <w:rFonts w:eastAsia="Times New Roman"/>
          <w:color w:val="000000"/>
        </w:rPr>
        <w:t xml:space="preserve">YAI, Olabiyi. "Issues in oral poetry: criticism, teaching and translation". In: BARBER, Karin; FARIAS, P. F. de Moraes (Eds.). </w:t>
      </w:r>
      <w:r w:rsidRPr="00A87555">
        <w:rPr>
          <w:rFonts w:eastAsia="Times New Roman"/>
          <w:color w:val="000000"/>
          <w:lang w:val="en-US"/>
        </w:rPr>
        <w:t xml:space="preserve">Discourse and its Disguises: the Interpretation of African Oral Texts. </w:t>
      </w:r>
      <w:r w:rsidRPr="00A87555">
        <w:rPr>
          <w:rFonts w:eastAsia="Times New Roman"/>
          <w:color w:val="000000"/>
        </w:rPr>
        <w:t>Birmingham: Centre of West African Studies/Birmingham University, 1989</w:t>
      </w:r>
    </w:p>
    <w:p w:rsidR="00DF4ED1" w:rsidRDefault="00DF4ED1">
      <w:pPr>
        <w:spacing w:after="200" w:line="240" w:lineRule="auto"/>
        <w:jc w:val="both"/>
        <w:rPr>
          <w:b/>
          <w:bCs/>
          <w:sz w:val="24"/>
          <w:szCs w:val="24"/>
        </w:rPr>
      </w:pPr>
    </w:p>
    <w:sectPr w:rsidR="00DF4ED1">
      <w:headerReference w:type="default" r:id="rId6"/>
      <w:footerReference w:type="default" r:id="rId7"/>
      <w:headerReference w:type="first" r:id="rId8"/>
      <w:footerReference w:type="firs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69A" w:rsidRDefault="00A5069A">
      <w:pPr>
        <w:spacing w:line="240" w:lineRule="auto"/>
      </w:pPr>
      <w:r>
        <w:separator/>
      </w:r>
    </w:p>
  </w:endnote>
  <w:endnote w:type="continuationSeparator" w:id="0">
    <w:p w:rsidR="00A5069A" w:rsidRDefault="00A506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8B19A3B-79C0-4D60-82BB-422762D61EDF}"/>
  </w:font>
  <w:font w:name="Cambria">
    <w:panose1 w:val="02040503050406030204"/>
    <w:charset w:val="00"/>
    <w:family w:val="roman"/>
    <w:pitch w:val="variable"/>
    <w:sig w:usb0="E00006FF" w:usb1="420024FF" w:usb2="02000000" w:usb3="00000000" w:csb0="0000019F" w:csb1="00000000"/>
    <w:embedRegular r:id="rId2" w:fontKey="{BEFCCF4F-1DC1-43E4-80D4-AFAD6C4B839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4ED1" w:rsidRDefault="00A5069A">
    <w:pPr>
      <w:jc w:val="center"/>
    </w:pPr>
    <w:r>
      <w:fldChar w:fldCharType="begin"/>
    </w:r>
    <w:r>
      <w:instrText>PAGE</w:instrText>
    </w:r>
    <w:r w:rsidR="00A87555">
      <w:fldChar w:fldCharType="separate"/>
    </w:r>
    <w:r w:rsidR="00A87555">
      <w:rPr>
        <w:noProof/>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4ED1" w:rsidRDefault="00DF4E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69A" w:rsidRDefault="00A5069A">
      <w:pPr>
        <w:spacing w:line="240" w:lineRule="auto"/>
      </w:pPr>
      <w:r>
        <w:separator/>
      </w:r>
    </w:p>
  </w:footnote>
  <w:footnote w:type="continuationSeparator" w:id="0">
    <w:p w:rsidR="00A5069A" w:rsidRDefault="00A5069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4ED1" w:rsidRDefault="00A5069A">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DF4ED1" w:rsidRDefault="00DF4ED1">
    <w:pPr>
      <w:jc w:val="right"/>
    </w:pPr>
  </w:p>
  <w:p w:rsidR="00DF4ED1" w:rsidRDefault="00DF4ED1">
    <w:pPr>
      <w:jc w:val="right"/>
    </w:pPr>
  </w:p>
  <w:p w:rsidR="00DF4ED1" w:rsidRDefault="00A5069A">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4ED1" w:rsidRDefault="00DF4ED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4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ED1"/>
    <w:rsid w:val="00A5069A"/>
    <w:rsid w:val="00A87555"/>
    <w:rsid w:val="00DF4E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2EB913-FF78-4C15-B1A6-928307DD3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A875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765832">
      <w:bodyDiv w:val="1"/>
      <w:marLeft w:val="0"/>
      <w:marRight w:val="0"/>
      <w:marTop w:val="0"/>
      <w:marBottom w:val="0"/>
      <w:divBdr>
        <w:top w:val="none" w:sz="0" w:space="0" w:color="auto"/>
        <w:left w:val="none" w:sz="0" w:space="0" w:color="auto"/>
        <w:bottom w:val="none" w:sz="0" w:space="0" w:color="auto"/>
        <w:right w:val="none" w:sz="0" w:space="0" w:color="auto"/>
      </w:divBdr>
    </w:div>
    <w:div w:id="1553225949">
      <w:bodyDiv w:val="1"/>
      <w:marLeft w:val="0"/>
      <w:marRight w:val="0"/>
      <w:marTop w:val="0"/>
      <w:marBottom w:val="0"/>
      <w:divBdr>
        <w:top w:val="none" w:sz="0" w:space="0" w:color="auto"/>
        <w:left w:val="none" w:sz="0" w:space="0" w:color="auto"/>
        <w:bottom w:val="none" w:sz="0" w:space="0" w:color="auto"/>
        <w:right w:val="none" w:sz="0" w:space="0" w:color="auto"/>
      </w:divBdr>
    </w:div>
    <w:div w:id="1581911803">
      <w:bodyDiv w:val="1"/>
      <w:marLeft w:val="0"/>
      <w:marRight w:val="0"/>
      <w:marTop w:val="0"/>
      <w:marBottom w:val="0"/>
      <w:divBdr>
        <w:top w:val="none" w:sz="0" w:space="0" w:color="auto"/>
        <w:left w:val="none" w:sz="0" w:space="0" w:color="auto"/>
        <w:bottom w:val="none" w:sz="0" w:space="0" w:color="auto"/>
        <w:right w:val="none" w:sz="0" w:space="0" w:color="auto"/>
      </w:divBdr>
    </w:div>
    <w:div w:id="1810855577">
      <w:bodyDiv w:val="1"/>
      <w:marLeft w:val="0"/>
      <w:marRight w:val="0"/>
      <w:marTop w:val="0"/>
      <w:marBottom w:val="0"/>
      <w:divBdr>
        <w:top w:val="none" w:sz="0" w:space="0" w:color="auto"/>
        <w:left w:val="none" w:sz="0" w:space="0" w:color="auto"/>
        <w:bottom w:val="none" w:sz="0" w:space="0" w:color="auto"/>
        <w:right w:val="none" w:sz="0" w:space="0" w:color="auto"/>
      </w:divBdr>
    </w:div>
    <w:div w:id="2087723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1237</Words>
  <Characters>6682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cp:revision>
  <dcterms:created xsi:type="dcterms:W3CDTF">2026-08-16T23:58:00Z</dcterms:created>
  <dcterms:modified xsi:type="dcterms:W3CDTF">2026-08-16T23:58:00Z</dcterms:modified>
</cp:coreProperties>
</file>