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274" w:rsidRDefault="00925274" w:rsidP="0092527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CONVERSATÓRIO 2 - VIVENCIANDO A EDUCAÇÃO NA MATRIZ AFRICANA</w:t>
      </w:r>
    </w:p>
    <w:p w:rsidR="00925274" w:rsidRDefault="00925274" w:rsidP="0092527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</w:p>
    <w:p w:rsidR="00925274" w:rsidRDefault="00925274" w:rsidP="0092527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Pedagogias de Terreiro: a vivência como prática educativa da ancestralidade nas comunidades de Candomblé</w:t>
      </w:r>
    </w:p>
    <w:p w:rsidR="00925274" w:rsidRPr="00925274" w:rsidRDefault="00925274" w:rsidP="0092527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:rsidR="00925274" w:rsidRPr="00925274" w:rsidRDefault="00BD2FD7" w:rsidP="00925274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Lucas Ferreira dos Santos, </w:t>
      </w:r>
      <w:r w:rsidR="00925274" w:rsidRPr="00925274">
        <w:rPr>
          <w:rFonts w:ascii="Arial" w:hAnsi="Arial" w:cs="Arial"/>
          <w:color w:val="000000"/>
        </w:rPr>
        <w:t xml:space="preserve">Universidade de Brasília (UnB), </w:t>
      </w:r>
      <w:hyperlink r:id="rId6" w:history="1">
        <w:r w:rsidR="00925274" w:rsidRPr="00925274">
          <w:rPr>
            <w:rStyle w:val="Hyperlink"/>
            <w:rFonts w:ascii="Arial" w:hAnsi="Arial" w:cs="Arial"/>
          </w:rPr>
          <w:t>lucas.mat2318@gmail.com</w:t>
        </w:r>
      </w:hyperlink>
    </w:p>
    <w:p w:rsidR="00925274" w:rsidRPr="00925274" w:rsidRDefault="00925274" w:rsidP="00925274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color w:val="000000"/>
          <w:sz w:val="22"/>
          <w:szCs w:val="22"/>
        </w:rPr>
      </w:pPr>
    </w:p>
    <w:p w:rsidR="00925274" w:rsidRDefault="00925274" w:rsidP="0092527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RESUMO</w:t>
      </w:r>
    </w:p>
    <w:p w:rsidR="00925274" w:rsidRDefault="00925274" w:rsidP="0092527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:rsidR="00203A1F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</w:rPr>
      </w:pPr>
      <w:bookmarkStart w:id="0" w:name="_GoBack"/>
      <w:r>
        <w:rPr>
          <w:rFonts w:ascii="Arial" w:hAnsi="Arial" w:cs="Arial"/>
          <w:color w:val="000000"/>
        </w:rPr>
        <w:t xml:space="preserve">Historicamente, os Terreiros foram reduzidos à dimensão religiosa, enquanto seus modos de produzir e transmitir conhecimentos foram deslegitimados pelo racismo e pela </w:t>
      </w:r>
      <w:proofErr w:type="spellStart"/>
      <w:r>
        <w:rPr>
          <w:rFonts w:ascii="Arial" w:hAnsi="Arial" w:cs="Arial"/>
          <w:color w:val="000000"/>
        </w:rPr>
        <w:t>colonialidade</w:t>
      </w:r>
      <w:proofErr w:type="spellEnd"/>
      <w:r>
        <w:rPr>
          <w:rFonts w:ascii="Arial" w:hAnsi="Arial" w:cs="Arial"/>
          <w:color w:val="000000"/>
        </w:rPr>
        <w:t xml:space="preserve">. Parto da pergunta: como as comunidades de Candomblé educam a partir da ancestralidade? A pesquisa-vivência “Pedagogias de Terreiro: a vivência como prática educativa da ancestralidade nas comunidades de Candomblé” procura deslocar o olhar sobre o Terreiro: de espaço exclusivamente religioso para território formador, produtor de epistemologias, tecnologias ancestrais e pedagogias. 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 xml:space="preserve">A pesquisa encontra-se em desenvolvimento e parte de um saber </w:t>
      </w:r>
      <w:proofErr w:type="spellStart"/>
      <w:r>
        <w:rPr>
          <w:rFonts w:ascii="Arial" w:hAnsi="Arial" w:cs="Arial"/>
          <w:color w:val="000000"/>
        </w:rPr>
        <w:t>autorreferenciado</w:t>
      </w:r>
      <w:proofErr w:type="spellEnd"/>
      <w:r>
        <w:rPr>
          <w:rFonts w:ascii="Arial" w:hAnsi="Arial" w:cs="Arial"/>
          <w:color w:val="000000"/>
        </w:rPr>
        <w:t xml:space="preserve">, construído a partir da minha própria vivência no Terreiro. Minha trajetória no Candomblé é lugar de enunciação e dimensão constitutiva do processo investigativo. É a partir do corpo-terreiro-vivência, das relações de ancestralidade, da convivência com os mais velhos e das aprendizagens produzidas no cotidiano que a pergunta de pesquisa se formula e ganha sentido. O saber </w:t>
      </w:r>
      <w:proofErr w:type="spellStart"/>
      <w:r>
        <w:rPr>
          <w:rFonts w:ascii="Arial" w:hAnsi="Arial" w:cs="Arial"/>
          <w:color w:val="000000"/>
        </w:rPr>
        <w:t>autorreferenciado</w:t>
      </w:r>
      <w:proofErr w:type="spellEnd"/>
      <w:r>
        <w:rPr>
          <w:rFonts w:ascii="Arial" w:hAnsi="Arial" w:cs="Arial"/>
          <w:color w:val="000000"/>
        </w:rPr>
        <w:t xml:space="preserve"> reconhece que o conhecimento é situado e que minha experiência é atravessada pela comunidade, pela ancestralidade e pelo coletivo.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 xml:space="preserve">No Terreiro, educação vai além da transmissão de </w:t>
      </w:r>
      <w:proofErr w:type="spellStart"/>
      <w:r>
        <w:rPr>
          <w:rFonts w:ascii="Arial" w:hAnsi="Arial" w:cs="Arial"/>
          <w:color w:val="000000"/>
        </w:rPr>
        <w:t>conteúdos</w:t>
      </w:r>
      <w:proofErr w:type="spellEnd"/>
      <w:r>
        <w:rPr>
          <w:rFonts w:ascii="Arial" w:hAnsi="Arial" w:cs="Arial"/>
          <w:color w:val="000000"/>
        </w:rPr>
        <w:t>: aprende-se na convivência, na observação, na escuta, no fazer, no cuidado e na participação comunitária. Cantar, dançar, cozinhar, cuidar dos espaços sagrados, aprender uma folha, acompanhar os mais velhos e participar dos rituais constituem experiências formativas. A oralidade ocupa lugar central, não como simples comunicação, mas como tecnologia de transmissão e atualização da memória ancestral. Botelho e Flor do Nascimento (2020) evidenciam que a educação nos candomblés se constitui como prática de resistência, transmissão e produção de saberes. Machado (2017; 2019) contribui para compreender o conhecimento afro-brasileiro como encarnado e produzido pela observação, experiência e interdependência.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É nesse horizonte que proponho a vivência-terreiro como prática educativa, entendida como processo formativo produzido pelas relações de ancestralidade, oralidade, espiritualidade, coletividade e cuidado. Acontece quando o corpo aprende fazendo, observando e escutando os mais velhos, enquanto as responsabilidades assumidas produzem pertencimento. O aprendizado acontece no entrelaçamento entre pessoas, ancestrais, Orixás, natureza, objetos, cantos, alimentos, gestos, silêncios e territórios. </w:t>
      </w:r>
    </w:p>
    <w:p w:rsidR="00925274" w:rsidRDefault="00925274" w:rsidP="00203A1F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>Assim, o corpo é território de inscrição e produção de saber.</w:t>
      </w:r>
      <w:r w:rsidR="00203A1F"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</w:rPr>
        <w:t xml:space="preserve">Nesse sentido, emerge o conceito de corpo-terreiro, compreendido como corpo constituído nas relações de ancestralidade, coletividade e espiritualidade. É um corpo que aprende, sente, produz conhecimento e se transforma pelas experiências compartilhadas. Essa noção </w:t>
      </w:r>
      <w:proofErr w:type="spellStart"/>
      <w:r>
        <w:rPr>
          <w:rFonts w:ascii="Arial" w:hAnsi="Arial" w:cs="Arial"/>
          <w:color w:val="000000"/>
        </w:rPr>
        <w:t>tensiona</w:t>
      </w:r>
      <w:proofErr w:type="spellEnd"/>
      <w:r>
        <w:rPr>
          <w:rFonts w:ascii="Arial" w:hAnsi="Arial" w:cs="Arial"/>
          <w:color w:val="000000"/>
        </w:rPr>
        <w:t xml:space="preserve"> a tradição escolar marcada pela separação entre corpo e mente, razão e sensibilidade, sujeito e território. No Terreiro, o conhecimento passa pelas mãos, pela voz, pelo movimento, pelo silêncio, pelo alimento, pelo cuidado e pela presença. A </w:t>
      </w:r>
      <w:proofErr w:type="spellStart"/>
      <w:r>
        <w:rPr>
          <w:rFonts w:ascii="Arial" w:hAnsi="Arial" w:cs="Arial"/>
          <w:color w:val="000000"/>
        </w:rPr>
        <w:t>corporalidade</w:t>
      </w:r>
      <w:proofErr w:type="spellEnd"/>
      <w:r>
        <w:rPr>
          <w:rFonts w:ascii="Arial" w:hAnsi="Arial" w:cs="Arial"/>
          <w:color w:val="000000"/>
        </w:rPr>
        <w:t xml:space="preserve"> e a </w:t>
      </w:r>
      <w:proofErr w:type="spellStart"/>
      <w:r>
        <w:rPr>
          <w:rFonts w:ascii="Arial" w:hAnsi="Arial" w:cs="Arial"/>
          <w:color w:val="000000"/>
        </w:rPr>
        <w:t>performatividade</w:t>
      </w:r>
      <w:proofErr w:type="spellEnd"/>
      <w:r>
        <w:rPr>
          <w:rFonts w:ascii="Arial" w:hAnsi="Arial" w:cs="Arial"/>
          <w:color w:val="000000"/>
        </w:rPr>
        <w:t xml:space="preserve"> não são acessórios da educação: são formas de conhecer. Essa compreensão dialoga com Martins (2021a; 2021b), ao reconhecer corpos e performances como tecnologias de memória e atualização da ancestralidade.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>A ancestralidade é compreendida como eixo epistemológico e currículo vivo. Diferentemente de um currículo fragmentado e linear, o currículo da ancestralidade se atualiza na experiência, na oralidade, na convivência e nas responsabilidades comunitárias. Os saberes são recriados por quem os recebe. A senioridade é pedagógica: os mais velhos guardam memórias, práticas e modos de fazer que sustentam a continuidade da comunidade. Aprender implica assumir responsabilidades progressivas, fazendo formação e pertencimento caminharem juntos.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 xml:space="preserve">Essa perspectiva desloca também o entendimento sobre as narrativas autobiográficas. Em diálogo com a </w:t>
      </w:r>
      <w:proofErr w:type="spellStart"/>
      <w:r>
        <w:rPr>
          <w:rFonts w:ascii="Arial" w:hAnsi="Arial" w:cs="Arial"/>
          <w:color w:val="000000"/>
        </w:rPr>
        <w:t>escrevivência</w:t>
      </w:r>
      <w:proofErr w:type="spellEnd"/>
      <w:r>
        <w:rPr>
          <w:rFonts w:ascii="Arial" w:hAnsi="Arial" w:cs="Arial"/>
          <w:color w:val="000000"/>
        </w:rPr>
        <w:t xml:space="preserve"> de Conceição Evaristo (2020), compreendo que narrar a própria trajetória não significa produzir um “eu” isolado. No Terreiro, falar de si é falar das pessoas, linhagens, ancestrais e comunidades que constituem o sujeito. A narrativa biográfica atualiza a ancestralidade: o vivido se faz saber, o cotidiano se transforma em ensinamento e a memória individual integra uma </w:t>
      </w:r>
      <w:r>
        <w:rPr>
          <w:rFonts w:ascii="Arial" w:hAnsi="Arial" w:cs="Arial"/>
          <w:color w:val="000000"/>
        </w:rPr>
        <w:lastRenderedPageBreak/>
        <w:t xml:space="preserve">memória coletiva. Desse movimento emerge a </w:t>
      </w:r>
      <w:proofErr w:type="spellStart"/>
      <w:r>
        <w:rPr>
          <w:rFonts w:ascii="Arial" w:hAnsi="Arial" w:cs="Arial"/>
          <w:color w:val="000000"/>
        </w:rPr>
        <w:t>Orikilaridade</w:t>
      </w:r>
      <w:proofErr w:type="spellEnd"/>
      <w:r>
        <w:rPr>
          <w:rFonts w:ascii="Arial" w:hAnsi="Arial" w:cs="Arial"/>
          <w:color w:val="000000"/>
        </w:rPr>
        <w:t xml:space="preserve">, atualização de lembranças e conhecimentos inscritos em </w:t>
      </w:r>
      <w:proofErr w:type="spellStart"/>
      <w:r>
        <w:rPr>
          <w:rFonts w:ascii="Arial" w:hAnsi="Arial" w:cs="Arial"/>
          <w:color w:val="000000"/>
        </w:rPr>
        <w:t>Orí</w:t>
      </w:r>
      <w:proofErr w:type="spellEnd"/>
      <w:r>
        <w:rPr>
          <w:rFonts w:ascii="Arial" w:hAnsi="Arial" w:cs="Arial"/>
          <w:color w:val="000000"/>
        </w:rPr>
        <w:t xml:space="preserve"> pela oralidade, vivência e relações comunitárias.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>Metodologicamente, a pesquisa assume-se como pesquisa-vivência e articula narrativa autobiográfica</w:t>
      </w:r>
      <w:r w:rsidR="00843651">
        <w:rPr>
          <w:rFonts w:ascii="Arial" w:hAnsi="Arial" w:cs="Arial"/>
          <w:color w:val="000000"/>
        </w:rPr>
        <w:t>, com escrita em primeira pessoa</w:t>
      </w:r>
      <w:r>
        <w:rPr>
          <w:rFonts w:ascii="Arial" w:hAnsi="Arial" w:cs="Arial"/>
          <w:color w:val="000000"/>
        </w:rPr>
        <w:t xml:space="preserve">, conversações com membros das comunidades, especialmente mais velhos, </w:t>
      </w:r>
      <w:proofErr w:type="spellStart"/>
      <w:r>
        <w:rPr>
          <w:rFonts w:ascii="Arial" w:hAnsi="Arial" w:cs="Arial"/>
          <w:color w:val="000000"/>
        </w:rPr>
        <w:t>iyawos</w:t>
      </w:r>
      <w:proofErr w:type="spellEnd"/>
      <w:r>
        <w:rPr>
          <w:rFonts w:ascii="Arial" w:hAnsi="Arial" w:cs="Arial"/>
          <w:color w:val="000000"/>
        </w:rPr>
        <w:t xml:space="preserve"> e </w:t>
      </w:r>
      <w:proofErr w:type="spellStart"/>
      <w:r>
        <w:rPr>
          <w:rFonts w:ascii="Arial" w:hAnsi="Arial" w:cs="Arial"/>
          <w:color w:val="000000"/>
        </w:rPr>
        <w:t>abians</w:t>
      </w:r>
      <w:proofErr w:type="spellEnd"/>
      <w:r>
        <w:rPr>
          <w:rFonts w:ascii="Arial" w:hAnsi="Arial" w:cs="Arial"/>
          <w:color w:val="000000"/>
        </w:rPr>
        <w:t xml:space="preserve">, e vivência em dois Terreiros do Distrito Federal e entorno: Ilê </w:t>
      </w:r>
      <w:proofErr w:type="spellStart"/>
      <w:r>
        <w:rPr>
          <w:rFonts w:ascii="Arial" w:hAnsi="Arial" w:cs="Arial"/>
          <w:color w:val="000000"/>
        </w:rPr>
        <w:t>Oni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Bô</w:t>
      </w:r>
      <w:proofErr w:type="spellEnd"/>
      <w:r>
        <w:rPr>
          <w:rFonts w:ascii="Arial" w:hAnsi="Arial" w:cs="Arial"/>
          <w:color w:val="000000"/>
        </w:rPr>
        <w:t xml:space="preserve"> Ará </w:t>
      </w:r>
      <w:proofErr w:type="spellStart"/>
      <w:r>
        <w:rPr>
          <w:rFonts w:ascii="Arial" w:hAnsi="Arial" w:cs="Arial"/>
          <w:color w:val="000000"/>
        </w:rPr>
        <w:t>Iko</w:t>
      </w:r>
      <w:proofErr w:type="spellEnd"/>
      <w:r>
        <w:rPr>
          <w:rFonts w:ascii="Arial" w:hAnsi="Arial" w:cs="Arial"/>
          <w:color w:val="000000"/>
        </w:rPr>
        <w:t xml:space="preserve"> – Axé </w:t>
      </w:r>
      <w:proofErr w:type="spellStart"/>
      <w:r>
        <w:rPr>
          <w:rFonts w:ascii="Arial" w:hAnsi="Arial" w:cs="Arial"/>
          <w:color w:val="000000"/>
        </w:rPr>
        <w:t>Osumaré</w:t>
      </w:r>
      <w:proofErr w:type="spellEnd"/>
      <w:r>
        <w:rPr>
          <w:rFonts w:ascii="Arial" w:hAnsi="Arial" w:cs="Arial"/>
          <w:color w:val="000000"/>
        </w:rPr>
        <w:t xml:space="preserve"> e Ilê Axé </w:t>
      </w:r>
      <w:proofErr w:type="spellStart"/>
      <w:r>
        <w:rPr>
          <w:rFonts w:ascii="Arial" w:hAnsi="Arial" w:cs="Arial"/>
          <w:color w:val="000000"/>
        </w:rPr>
        <w:t>Magbá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Biolá</w:t>
      </w:r>
      <w:proofErr w:type="spellEnd"/>
      <w:r>
        <w:rPr>
          <w:rFonts w:ascii="Arial" w:hAnsi="Arial" w:cs="Arial"/>
          <w:color w:val="000000"/>
        </w:rPr>
        <w:t>. O percurso é denominado “</w:t>
      </w:r>
      <w:proofErr w:type="spellStart"/>
      <w:r>
        <w:rPr>
          <w:rFonts w:ascii="Arial" w:hAnsi="Arial" w:cs="Arial"/>
          <w:color w:val="000000"/>
        </w:rPr>
        <w:t>Orikilaridade</w:t>
      </w:r>
      <w:proofErr w:type="spellEnd"/>
      <w:r>
        <w:rPr>
          <w:rFonts w:ascii="Arial" w:hAnsi="Arial" w:cs="Arial"/>
          <w:color w:val="000000"/>
        </w:rPr>
        <w:t xml:space="preserve"> do corpo-terreiro”, reconhecendo que determinados saberes são inscritos, atualizados e produzidos no </w:t>
      </w:r>
      <w:proofErr w:type="spellStart"/>
      <w:r>
        <w:rPr>
          <w:rFonts w:ascii="Arial" w:hAnsi="Arial" w:cs="Arial"/>
          <w:color w:val="000000"/>
        </w:rPr>
        <w:t>Orí</w:t>
      </w:r>
      <w:proofErr w:type="spellEnd"/>
      <w:r>
        <w:rPr>
          <w:rFonts w:ascii="Arial" w:hAnsi="Arial" w:cs="Arial"/>
          <w:color w:val="000000"/>
        </w:rPr>
        <w:t xml:space="preserve"> e no corpo pela vivência, pela ancestralidade, pela oralidade e pelas relações comunitárias. São vividos, </w:t>
      </w:r>
      <w:proofErr w:type="spellStart"/>
      <w:r>
        <w:rPr>
          <w:rFonts w:ascii="Arial" w:hAnsi="Arial" w:cs="Arial"/>
          <w:color w:val="000000"/>
        </w:rPr>
        <w:t>performados</w:t>
      </w:r>
      <w:proofErr w:type="spellEnd"/>
      <w:r>
        <w:rPr>
          <w:rFonts w:ascii="Arial" w:hAnsi="Arial" w:cs="Arial"/>
          <w:color w:val="000000"/>
        </w:rPr>
        <w:t>, incorporados e lembrados pelo corpo. A escrita acadêmica não pretende falar pelo Terreiro, mas construir uma escrita desde a experiência, assumindo o</w:t>
      </w:r>
      <w:r w:rsidR="004C4797">
        <w:rPr>
          <w:rFonts w:ascii="Arial" w:hAnsi="Arial" w:cs="Arial"/>
          <w:color w:val="000000"/>
        </w:rPr>
        <w:t xml:space="preserve"> saber </w:t>
      </w:r>
      <w:proofErr w:type="spellStart"/>
      <w:r w:rsidR="004C4797">
        <w:rPr>
          <w:rFonts w:ascii="Arial" w:hAnsi="Arial" w:cs="Arial"/>
          <w:color w:val="000000"/>
        </w:rPr>
        <w:t>autorreferenciado</w:t>
      </w:r>
      <w:proofErr w:type="spellEnd"/>
      <w:r w:rsidR="004C4797">
        <w:rPr>
          <w:rFonts w:ascii="Arial" w:hAnsi="Arial" w:cs="Arial"/>
          <w:color w:val="000000"/>
        </w:rPr>
        <w:t xml:space="preserve"> e a Po</w:t>
      </w:r>
      <w:r>
        <w:rPr>
          <w:rFonts w:ascii="Arial" w:hAnsi="Arial" w:cs="Arial"/>
          <w:color w:val="000000"/>
        </w:rPr>
        <w:t>ética-terreiro.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</w:rPr>
        <w:t xml:space="preserve">Por se tratar de uma pesquisa em desenvolvimento, os resultados apresentados são parciais e correspondem a compreensões que vêm sendo produzidas no percurso investigativo. Até o momento, as Pedagogias de Terreiro podem ser compreendidas a partir de princípios articulados como oralidade, </w:t>
      </w:r>
      <w:proofErr w:type="spellStart"/>
      <w:r>
        <w:rPr>
          <w:rFonts w:ascii="Arial" w:hAnsi="Arial" w:cs="Arial"/>
          <w:color w:val="000000"/>
        </w:rPr>
        <w:t>corporalidade</w:t>
      </w:r>
      <w:proofErr w:type="spellEnd"/>
      <w:r>
        <w:rPr>
          <w:rFonts w:ascii="Arial" w:hAnsi="Arial" w:cs="Arial"/>
          <w:color w:val="000000"/>
        </w:rPr>
        <w:t xml:space="preserve">, ancestralidade, circularidade, musicalidade, </w:t>
      </w:r>
      <w:proofErr w:type="spellStart"/>
      <w:proofErr w:type="gramStart"/>
      <w:r>
        <w:rPr>
          <w:rFonts w:ascii="Arial" w:hAnsi="Arial" w:cs="Arial"/>
          <w:color w:val="000000"/>
        </w:rPr>
        <w:t>comunitarismo</w:t>
      </w:r>
      <w:proofErr w:type="spellEnd"/>
      <w:r>
        <w:rPr>
          <w:rFonts w:ascii="Arial" w:hAnsi="Arial" w:cs="Arial"/>
          <w:color w:val="000000"/>
        </w:rPr>
        <w:t>, senioridade, iniciação, observação, cuidado e responsabilidade coletiva</w:t>
      </w:r>
      <w:proofErr w:type="gramEnd"/>
      <w:r>
        <w:rPr>
          <w:rFonts w:ascii="Arial" w:hAnsi="Arial" w:cs="Arial"/>
          <w:color w:val="000000"/>
        </w:rPr>
        <w:t>. Esses princípios formam uma trama educativa voltada à vida comunitária, à reciprocidade e ao cuidado com o território. A pedagogia acontece porque se vive junto.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Reconhecer a educação na matriz africana exige mais do que inserir conteúdos sobre África e afro-brasilidades: exige reconhecer epistemologias e pedagogias que sobreviveram ao apagamento e continuam produzindo formação, memória, pertencimento e resistência. Trata-se de enfrentar o </w:t>
      </w:r>
      <w:proofErr w:type="spellStart"/>
      <w:r>
        <w:rPr>
          <w:rFonts w:ascii="Arial" w:hAnsi="Arial" w:cs="Arial"/>
          <w:color w:val="000000"/>
        </w:rPr>
        <w:t>epistemicídio</w:t>
      </w:r>
      <w:proofErr w:type="spellEnd"/>
      <w:r>
        <w:rPr>
          <w:rFonts w:ascii="Arial" w:hAnsi="Arial" w:cs="Arial"/>
          <w:color w:val="000000"/>
        </w:rPr>
        <w:t xml:space="preserve"> denunciado por Carneiro (2005), recolocando saberes negros como produtores de conhecimento. As Pedagogias de Terreiro contribuem para uma educação antirracista e </w:t>
      </w:r>
      <w:proofErr w:type="spellStart"/>
      <w:r>
        <w:rPr>
          <w:rFonts w:ascii="Arial" w:hAnsi="Arial" w:cs="Arial"/>
          <w:color w:val="000000"/>
        </w:rPr>
        <w:t>decolonial</w:t>
      </w:r>
      <w:proofErr w:type="spellEnd"/>
      <w:r>
        <w:rPr>
          <w:rFonts w:ascii="Arial" w:hAnsi="Arial" w:cs="Arial"/>
          <w:color w:val="000000"/>
        </w:rPr>
        <w:t xml:space="preserve"> porque interrogam o que conta como conhecimento, quem pode ensinar, onde se aprende e quais corpos são reconhecidos como legítimos produtores de saber. Vivenciar a educação na matriz africana é aprender a escutar outros modos de ensinar e aprender, permitindo que escola e universidade aprendam com os Terreiros.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000000"/>
          <w:sz w:val="27"/>
          <w:szCs w:val="27"/>
        </w:rPr>
      </w:pP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PALAVRAS-CHAVE</w:t>
      </w:r>
    </w:p>
    <w:p w:rsidR="001B6723" w:rsidRPr="00925274" w:rsidRDefault="001B6723" w:rsidP="008B7A52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</w:rPr>
      </w:pP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Pedagogias de Terreiro; ancestralidade; vivência-terreiro;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Orikilaridade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 educação antirracista.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27"/>
          <w:szCs w:val="27"/>
        </w:rPr>
      </w:pP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REFERÊNCIAS</w:t>
      </w:r>
    </w:p>
    <w:p w:rsidR="00925274" w:rsidRDefault="00925274" w:rsidP="008B7A52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7"/>
          <w:szCs w:val="27"/>
        </w:rPr>
      </w:pPr>
    </w:p>
    <w:p w:rsidR="002243EF" w:rsidRDefault="002243EF" w:rsidP="008B7A52">
      <w:pPr>
        <w:pStyle w:val="pdq2pgselectionanchorcontainer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BOTELHO, Denise Maria. </w:t>
      </w:r>
      <w:r w:rsidRPr="002243EF">
        <w:rPr>
          <w:rStyle w:val="nfase"/>
          <w:rFonts w:ascii="Arial" w:hAnsi="Arial" w:cs="Arial"/>
        </w:rPr>
        <w:t xml:space="preserve">Educação e Orixás: processos educativos no Ilê Axé Mi </w:t>
      </w:r>
      <w:proofErr w:type="spellStart"/>
      <w:r w:rsidRPr="002243EF">
        <w:rPr>
          <w:rStyle w:val="nfase"/>
          <w:rFonts w:ascii="Arial" w:hAnsi="Arial" w:cs="Arial"/>
        </w:rPr>
        <w:t>Agba</w:t>
      </w:r>
      <w:proofErr w:type="spellEnd"/>
      <w:r w:rsidRPr="002243EF">
        <w:rPr>
          <w:rFonts w:ascii="Arial" w:hAnsi="Arial" w:cs="Arial"/>
        </w:rPr>
        <w:t>. 2005. Tese (Doutorado em Educação) – Universidade de São Paulo, São Paulo, 2005.</w:t>
      </w:r>
    </w:p>
    <w:p w:rsidR="002243EF" w:rsidRPr="002243EF" w:rsidRDefault="002243EF" w:rsidP="008B7A52">
      <w:pPr>
        <w:pStyle w:val="pdq2pgselectionanchorcontainer"/>
        <w:spacing w:before="0" w:beforeAutospacing="0" w:after="0" w:afterAutospacing="0"/>
        <w:rPr>
          <w:rFonts w:ascii="Arial" w:hAnsi="Arial" w:cs="Arial"/>
        </w:rPr>
      </w:pPr>
    </w:p>
    <w:p w:rsid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BOTELHO, Denise; FLOR DO NASCIMENTO, Wanderson. </w:t>
      </w:r>
      <w:proofErr w:type="spellStart"/>
      <w:r w:rsidRPr="002243EF">
        <w:rPr>
          <w:rFonts w:ascii="Arial" w:hAnsi="Arial" w:cs="Arial"/>
        </w:rPr>
        <w:t>Ẹ̀ko</w:t>
      </w:r>
      <w:proofErr w:type="spellEnd"/>
      <w:r w:rsidRPr="002243EF">
        <w:rPr>
          <w:rFonts w:ascii="Arial" w:hAnsi="Arial" w:cs="Arial"/>
        </w:rPr>
        <w:t xml:space="preserve"> </w:t>
      </w:r>
      <w:proofErr w:type="spellStart"/>
      <w:r w:rsidRPr="002243EF">
        <w:rPr>
          <w:rFonts w:ascii="Arial" w:hAnsi="Arial" w:cs="Arial"/>
        </w:rPr>
        <w:t>láti</w:t>
      </w:r>
      <w:proofErr w:type="spellEnd"/>
      <w:r w:rsidRPr="002243EF">
        <w:rPr>
          <w:rFonts w:ascii="Arial" w:hAnsi="Arial" w:cs="Arial"/>
        </w:rPr>
        <w:t xml:space="preserve"> </w:t>
      </w:r>
      <w:proofErr w:type="spellStart"/>
      <w:r w:rsidRPr="002243EF">
        <w:rPr>
          <w:rFonts w:ascii="Arial" w:hAnsi="Arial" w:cs="Arial"/>
        </w:rPr>
        <w:t>ṣayé</w:t>
      </w:r>
      <w:proofErr w:type="spellEnd"/>
      <w:r w:rsidRPr="002243EF">
        <w:rPr>
          <w:rFonts w:ascii="Arial" w:hAnsi="Arial" w:cs="Arial"/>
        </w:rPr>
        <w:t xml:space="preserve">: educação e resistência nos candomblés. </w:t>
      </w:r>
      <w:r w:rsidRPr="002243EF">
        <w:rPr>
          <w:rStyle w:val="nfase"/>
          <w:rFonts w:ascii="Arial" w:hAnsi="Arial" w:cs="Arial"/>
        </w:rPr>
        <w:t>Revista Educação e Cultura Contemporânea</w:t>
      </w:r>
      <w:r w:rsidRPr="002243EF">
        <w:rPr>
          <w:rFonts w:ascii="Arial" w:hAnsi="Arial" w:cs="Arial"/>
        </w:rPr>
        <w:t>, v. 48, p. 408–425, 2020.</w:t>
      </w: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CARNEIRO, Aparecida Sueli. </w:t>
      </w:r>
      <w:r w:rsidRPr="002243EF">
        <w:rPr>
          <w:rStyle w:val="nfase"/>
          <w:rFonts w:ascii="Arial" w:hAnsi="Arial" w:cs="Arial"/>
        </w:rPr>
        <w:t>A construção do Outro como Não-Ser como fundamento do Ser</w:t>
      </w:r>
      <w:r w:rsidRPr="002243EF">
        <w:rPr>
          <w:rFonts w:ascii="Arial" w:hAnsi="Arial" w:cs="Arial"/>
        </w:rPr>
        <w:t>. 2005. Tese (Doutorado em Educação) – Universidade de São Paulo, São Paulo, 2005.</w:t>
      </w: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EVARISTO, Conceição. A </w:t>
      </w:r>
      <w:proofErr w:type="spellStart"/>
      <w:r w:rsidRPr="002243EF">
        <w:rPr>
          <w:rFonts w:ascii="Arial" w:hAnsi="Arial" w:cs="Arial"/>
        </w:rPr>
        <w:t>escrevivência</w:t>
      </w:r>
      <w:proofErr w:type="spellEnd"/>
      <w:r w:rsidRPr="002243EF">
        <w:rPr>
          <w:rFonts w:ascii="Arial" w:hAnsi="Arial" w:cs="Arial"/>
        </w:rPr>
        <w:t xml:space="preserve"> e seus subtextos. In: DUARTE, Constância Lima; NUNES, Isabella Rosado (org.). </w:t>
      </w:r>
      <w:proofErr w:type="spellStart"/>
      <w:r w:rsidRPr="002243EF">
        <w:rPr>
          <w:rStyle w:val="nfase"/>
          <w:rFonts w:ascii="Arial" w:hAnsi="Arial" w:cs="Arial"/>
        </w:rPr>
        <w:t>Escrevivência</w:t>
      </w:r>
      <w:proofErr w:type="spellEnd"/>
      <w:r w:rsidRPr="002243EF">
        <w:rPr>
          <w:rStyle w:val="nfase"/>
          <w:rFonts w:ascii="Arial" w:hAnsi="Arial" w:cs="Arial"/>
        </w:rPr>
        <w:t>: a escrita de nós: reflexões sobre a obra de Conceição Evaristo</w:t>
      </w:r>
      <w:r w:rsidRPr="002243EF">
        <w:rPr>
          <w:rFonts w:ascii="Arial" w:hAnsi="Arial" w:cs="Arial"/>
        </w:rPr>
        <w:t>. Rio de Janeiro: Mina Comunicação e Arte, 2020. p. 27–46.</w:t>
      </w: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MACHADO, Vanda. </w:t>
      </w:r>
      <w:proofErr w:type="spellStart"/>
      <w:r w:rsidRPr="002243EF">
        <w:rPr>
          <w:rStyle w:val="nfase"/>
          <w:rFonts w:ascii="Arial" w:hAnsi="Arial" w:cs="Arial"/>
        </w:rPr>
        <w:t>Irê</w:t>
      </w:r>
      <w:proofErr w:type="spellEnd"/>
      <w:r w:rsidRPr="002243EF">
        <w:rPr>
          <w:rStyle w:val="nfase"/>
          <w:rFonts w:ascii="Arial" w:hAnsi="Arial" w:cs="Arial"/>
        </w:rPr>
        <w:t xml:space="preserve"> </w:t>
      </w:r>
      <w:proofErr w:type="spellStart"/>
      <w:r w:rsidRPr="002243EF">
        <w:rPr>
          <w:rStyle w:val="nfase"/>
          <w:rFonts w:ascii="Arial" w:hAnsi="Arial" w:cs="Arial"/>
        </w:rPr>
        <w:t>Ayó</w:t>
      </w:r>
      <w:proofErr w:type="spellEnd"/>
      <w:r w:rsidRPr="002243EF">
        <w:rPr>
          <w:rStyle w:val="nfase"/>
          <w:rFonts w:ascii="Arial" w:hAnsi="Arial" w:cs="Arial"/>
        </w:rPr>
        <w:t>: uma epistemologia afro-brasileira</w:t>
      </w:r>
      <w:r w:rsidRPr="002243EF">
        <w:rPr>
          <w:rFonts w:ascii="Arial" w:hAnsi="Arial" w:cs="Arial"/>
        </w:rPr>
        <w:t>. Salvador: EDUFBA, 2019.</w:t>
      </w: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MACHADO, Vanda. </w:t>
      </w:r>
      <w:r w:rsidRPr="002243EF">
        <w:rPr>
          <w:rStyle w:val="nfase"/>
          <w:rFonts w:ascii="Arial" w:hAnsi="Arial" w:cs="Arial"/>
        </w:rPr>
        <w:t>Pele da cor da noite</w:t>
      </w:r>
      <w:r w:rsidRPr="002243EF">
        <w:rPr>
          <w:rFonts w:ascii="Arial" w:hAnsi="Arial" w:cs="Arial"/>
        </w:rPr>
        <w:t>. Salvador: EDUFBA, 2017.</w:t>
      </w:r>
    </w:p>
    <w:p w:rsid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MARTINS, Leda Maria. </w:t>
      </w:r>
      <w:proofErr w:type="spellStart"/>
      <w:r w:rsidRPr="002243EF">
        <w:rPr>
          <w:rStyle w:val="nfase"/>
          <w:rFonts w:ascii="Arial" w:hAnsi="Arial" w:cs="Arial"/>
        </w:rPr>
        <w:t>Afrografias</w:t>
      </w:r>
      <w:proofErr w:type="spellEnd"/>
      <w:r w:rsidRPr="002243EF">
        <w:rPr>
          <w:rStyle w:val="nfase"/>
          <w:rFonts w:ascii="Arial" w:hAnsi="Arial" w:cs="Arial"/>
        </w:rPr>
        <w:t xml:space="preserve"> da memória: o Reinado do Rosário do Jatobá</w:t>
      </w:r>
      <w:r w:rsidRPr="002243EF">
        <w:rPr>
          <w:rFonts w:ascii="Arial" w:hAnsi="Arial" w:cs="Arial"/>
        </w:rPr>
        <w:t xml:space="preserve">. São Paulo: Perspectiva; Belo Horizonte: </w:t>
      </w:r>
      <w:proofErr w:type="spellStart"/>
      <w:r w:rsidRPr="002243EF">
        <w:rPr>
          <w:rFonts w:ascii="Arial" w:hAnsi="Arial" w:cs="Arial"/>
        </w:rPr>
        <w:t>Mazza</w:t>
      </w:r>
      <w:proofErr w:type="spellEnd"/>
      <w:r w:rsidRPr="002243EF">
        <w:rPr>
          <w:rFonts w:ascii="Arial" w:hAnsi="Arial" w:cs="Arial"/>
        </w:rPr>
        <w:t xml:space="preserve"> Edições, 2021a.</w:t>
      </w: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2243EF" w:rsidRPr="002243EF" w:rsidRDefault="002243EF" w:rsidP="008B7A52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2243EF">
        <w:rPr>
          <w:rFonts w:ascii="Arial" w:hAnsi="Arial" w:cs="Arial"/>
        </w:rPr>
        <w:t xml:space="preserve">MARTINS, Leda Maria. </w:t>
      </w:r>
      <w:r w:rsidRPr="002243EF">
        <w:rPr>
          <w:rStyle w:val="nfase"/>
          <w:rFonts w:ascii="Arial" w:hAnsi="Arial" w:cs="Arial"/>
        </w:rPr>
        <w:t>Performances do tempo espiralar, poéticas do corpo-tela</w:t>
      </w:r>
      <w:r w:rsidRPr="002243EF">
        <w:rPr>
          <w:rFonts w:ascii="Arial" w:hAnsi="Arial" w:cs="Arial"/>
        </w:rPr>
        <w:t xml:space="preserve">. Rio de Janeiro: </w:t>
      </w:r>
      <w:proofErr w:type="spellStart"/>
      <w:r w:rsidRPr="002243EF">
        <w:rPr>
          <w:rFonts w:ascii="Arial" w:hAnsi="Arial" w:cs="Arial"/>
        </w:rPr>
        <w:t>Cobogó</w:t>
      </w:r>
      <w:proofErr w:type="spellEnd"/>
      <w:r w:rsidRPr="002243EF">
        <w:rPr>
          <w:rFonts w:ascii="Arial" w:hAnsi="Arial" w:cs="Arial"/>
        </w:rPr>
        <w:t>, 2021b.</w:t>
      </w:r>
    </w:p>
    <w:bookmarkEnd w:id="0"/>
    <w:p w:rsidR="00925274" w:rsidRPr="002243EF" w:rsidRDefault="00925274" w:rsidP="002243E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sectPr w:rsidR="00925274" w:rsidRPr="002243EF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780" w:rsidRDefault="00940780">
      <w:pPr>
        <w:spacing w:line="240" w:lineRule="auto"/>
      </w:pPr>
      <w:r>
        <w:separator/>
      </w:r>
    </w:p>
  </w:endnote>
  <w:endnote w:type="continuationSeparator" w:id="0">
    <w:p w:rsidR="00940780" w:rsidRDefault="00940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3F1B8A-2C10-4379-A3A7-4606182795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6A1A96-45EB-49A0-A740-4AAB94F2C18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C92" w:rsidRDefault="00BC50C9">
    <w:pPr>
      <w:jc w:val="center"/>
    </w:pPr>
    <w:r>
      <w:fldChar w:fldCharType="begin"/>
    </w:r>
    <w:r>
      <w:instrText>PAGE</w:instrText>
    </w:r>
    <w:r>
      <w:fldChar w:fldCharType="separate"/>
    </w:r>
    <w:r w:rsidR="00203A1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C92" w:rsidRDefault="00CA2C9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780" w:rsidRDefault="00940780">
      <w:pPr>
        <w:spacing w:line="240" w:lineRule="auto"/>
      </w:pPr>
      <w:r>
        <w:separator/>
      </w:r>
    </w:p>
  </w:footnote>
  <w:footnote w:type="continuationSeparator" w:id="0">
    <w:p w:rsidR="00940780" w:rsidRDefault="009407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C92" w:rsidRDefault="00BC50C9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A2C92" w:rsidRDefault="00CA2C92">
    <w:pPr>
      <w:jc w:val="right"/>
    </w:pPr>
  </w:p>
  <w:p w:rsidR="00CA2C92" w:rsidRDefault="00CA2C92">
    <w:pPr>
      <w:jc w:val="right"/>
    </w:pPr>
  </w:p>
  <w:p w:rsidR="00CA2C92" w:rsidRDefault="00BC50C9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C92" w:rsidRDefault="00CA2C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C92"/>
    <w:rsid w:val="00085638"/>
    <w:rsid w:val="00154FEE"/>
    <w:rsid w:val="001B6723"/>
    <w:rsid w:val="00203A1F"/>
    <w:rsid w:val="002243EF"/>
    <w:rsid w:val="0035313A"/>
    <w:rsid w:val="00472655"/>
    <w:rsid w:val="004C4797"/>
    <w:rsid w:val="00843651"/>
    <w:rsid w:val="008B7A52"/>
    <w:rsid w:val="00925274"/>
    <w:rsid w:val="00940780"/>
    <w:rsid w:val="00B56D15"/>
    <w:rsid w:val="00BC50C9"/>
    <w:rsid w:val="00BD2FD7"/>
    <w:rsid w:val="00CA2C92"/>
    <w:rsid w:val="00CB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A1F93"/>
  <w15:docId w15:val="{2B6F0E62-C323-48C0-A2EB-64382531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92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925274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224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2243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5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ucas.mat2318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1121</Words>
  <Characters>7085</Characters>
  <Application>Microsoft Office Word</Application>
  <DocSecurity>0</DocSecurity>
  <Lines>133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Ferreira dos Santos</cp:lastModifiedBy>
  <cp:revision>12</cp:revision>
  <dcterms:created xsi:type="dcterms:W3CDTF">2026-08-16T23:50:00Z</dcterms:created>
  <dcterms:modified xsi:type="dcterms:W3CDTF">2026-08-17T00:24:00Z</dcterms:modified>
</cp:coreProperties>
</file>