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246F4" w14:textId="0794BE66" w:rsidR="00786F0B" w:rsidRPr="00CD034A" w:rsidRDefault="00DD3463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CD034A">
        <w:rPr>
          <w:b/>
          <w:bCs/>
          <w:sz w:val="24"/>
          <w:szCs w:val="24"/>
        </w:rPr>
        <w:t>EDUCAÇÃO ANTIRRACISTA NA EDUCAÇÃO BÁSICA: EDUCANDO PARA AS RELAÇÕES ÉTNICO-RACIAIS</w:t>
      </w:r>
    </w:p>
    <w:p w14:paraId="595246F6" w14:textId="77777777" w:rsidR="00786F0B" w:rsidRPr="00CD034A" w:rsidRDefault="00786F0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95246F7" w14:textId="77777777" w:rsidR="00786F0B" w:rsidRPr="00CD034A" w:rsidRDefault="00786F0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EDD0A70" w14:textId="77777777" w:rsidR="00EC555E" w:rsidRPr="00CD034A" w:rsidRDefault="00CA6B17" w:rsidP="00EC555E">
      <w:pPr>
        <w:spacing w:line="360" w:lineRule="auto"/>
        <w:ind w:firstLine="709"/>
        <w:jc w:val="both"/>
        <w:rPr>
          <w:b/>
          <w:bCs/>
          <w:sz w:val="24"/>
          <w:szCs w:val="24"/>
        </w:rPr>
      </w:pPr>
      <w:r w:rsidRPr="00CD034A">
        <w:rPr>
          <w:b/>
          <w:bCs/>
          <w:sz w:val="24"/>
          <w:szCs w:val="24"/>
        </w:rPr>
        <w:t xml:space="preserve"> </w:t>
      </w:r>
      <w:r w:rsidR="00EC555E" w:rsidRPr="00CD034A">
        <w:rPr>
          <w:b/>
          <w:bCs/>
          <w:sz w:val="24"/>
          <w:szCs w:val="24"/>
        </w:rPr>
        <w:t>Crítica à humanidade universal: Histórias Indígenas e educação antirracista</w:t>
      </w:r>
    </w:p>
    <w:p w14:paraId="595246F8" w14:textId="40E63FBC" w:rsidR="00786F0B" w:rsidRPr="00CD034A" w:rsidRDefault="00786F0B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595246FA" w14:textId="77777777" w:rsidR="00786F0B" w:rsidRPr="00CD034A" w:rsidRDefault="00786F0B">
      <w:pPr>
        <w:keepLines/>
        <w:widowControl w:val="0"/>
        <w:spacing w:line="240" w:lineRule="auto"/>
        <w:rPr>
          <w:sz w:val="24"/>
          <w:szCs w:val="24"/>
        </w:rPr>
      </w:pPr>
    </w:p>
    <w:p w14:paraId="595246FB" w14:textId="7AB4C014" w:rsidR="00786F0B" w:rsidRPr="00CD034A" w:rsidRDefault="001C20FE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CD034A">
        <w:rPr>
          <w:sz w:val="24"/>
          <w:szCs w:val="24"/>
        </w:rPr>
        <w:t>Izis Guimarães Mueller, UFU/</w:t>
      </w:r>
      <w:proofErr w:type="spellStart"/>
      <w:r w:rsidRPr="00CD034A">
        <w:rPr>
          <w:sz w:val="24"/>
          <w:szCs w:val="24"/>
        </w:rPr>
        <w:t>ProfHistória</w:t>
      </w:r>
      <w:proofErr w:type="spellEnd"/>
      <w:r w:rsidRPr="00CD034A">
        <w:rPr>
          <w:sz w:val="24"/>
          <w:szCs w:val="24"/>
        </w:rPr>
        <w:t>, izismueller@hotmail.com</w:t>
      </w:r>
    </w:p>
    <w:p w14:paraId="59524700" w14:textId="77777777" w:rsidR="00786F0B" w:rsidRDefault="00786F0B">
      <w:pPr>
        <w:keepLines/>
        <w:widowControl w:val="0"/>
        <w:spacing w:line="240" w:lineRule="auto"/>
        <w:rPr>
          <w:sz w:val="24"/>
          <w:szCs w:val="24"/>
        </w:rPr>
      </w:pPr>
    </w:p>
    <w:p w14:paraId="59524701" w14:textId="77777777" w:rsidR="00786F0B" w:rsidRDefault="00786F0B">
      <w:pPr>
        <w:keepLines/>
        <w:widowControl w:val="0"/>
        <w:spacing w:line="240" w:lineRule="auto"/>
        <w:rPr>
          <w:sz w:val="24"/>
          <w:szCs w:val="24"/>
        </w:rPr>
      </w:pPr>
    </w:p>
    <w:p w14:paraId="59524702" w14:textId="77777777" w:rsidR="00786F0B" w:rsidRDefault="00786F0B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59524703" w14:textId="77777777" w:rsidR="00786F0B" w:rsidRPr="00CA33E7" w:rsidRDefault="00CA6B17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 w:rsidRPr="00CA33E7">
        <w:rPr>
          <w:b/>
          <w:bCs/>
          <w:sz w:val="24"/>
          <w:szCs w:val="24"/>
        </w:rPr>
        <w:t>RESUMO</w:t>
      </w:r>
    </w:p>
    <w:p w14:paraId="6D99E439" w14:textId="77777777" w:rsidR="005A6F3C" w:rsidRPr="00CA33E7" w:rsidRDefault="005A6F3C" w:rsidP="005A6F3C">
      <w:pPr>
        <w:spacing w:line="360" w:lineRule="auto"/>
        <w:ind w:firstLine="709"/>
        <w:jc w:val="both"/>
        <w:rPr>
          <w:sz w:val="24"/>
          <w:szCs w:val="24"/>
        </w:rPr>
      </w:pPr>
      <w:r w:rsidRPr="00CA33E7">
        <w:rPr>
          <w:sz w:val="24"/>
          <w:szCs w:val="24"/>
        </w:rPr>
        <w:t>O racismo é uma relação assimétrica que hierarquiza sujeitos em relação a outros, tendo a origem étnica como marcador de diferença. Ele é estrutural, pois, embora se manifeste também em atitudes individuais, tem uma longa história que o estruturou e é estruturador das relações sociais. É atual, na medida em que o vivenciamos cotidianamente, por meio de práticas e atitudes de preconceito e discriminação contra pessoas negras, mas também constitui uma memória histórica que atualiza, no presente, relações de dominação forjadas no passado colonial.</w:t>
      </w:r>
    </w:p>
    <w:p w14:paraId="43D55BFD" w14:textId="77777777" w:rsidR="005A6F3C" w:rsidRPr="00CA33E7" w:rsidRDefault="005A6F3C" w:rsidP="005A6F3C">
      <w:pPr>
        <w:spacing w:line="360" w:lineRule="auto"/>
        <w:ind w:firstLine="709"/>
        <w:jc w:val="both"/>
        <w:rPr>
          <w:sz w:val="24"/>
          <w:szCs w:val="24"/>
        </w:rPr>
      </w:pPr>
      <w:r w:rsidRPr="00CA33E7">
        <w:rPr>
          <w:sz w:val="24"/>
          <w:szCs w:val="24"/>
        </w:rPr>
        <w:t xml:space="preserve">Enquanto professora que atua na Educação Básica testemunho situações de reprodução de violências racistas, frequentemente disfarçadas de brincadeira e de senso comum. Quando repreendo os alunos ou identifico comportamentos que considero racistas, é comum ouvir, em relação a essas ações, frases como: “Todo mundo faz”, “Ele não liga”, “É só uma brincadeira”. Dessa forma, as violências são reproduzidas e justificadas como sendo comportamentos corriqueiros, enquanto a resistência e a reação a elas são desqualificadas sob a alcunha de “vitimismo”, o conhecido “mimimi”. </w:t>
      </w:r>
    </w:p>
    <w:p w14:paraId="6B36C75C" w14:textId="5B4BDF94" w:rsidR="005A6F3C" w:rsidRPr="00CA33E7" w:rsidRDefault="005A6F3C" w:rsidP="005A6F3C">
      <w:pPr>
        <w:spacing w:line="360" w:lineRule="auto"/>
        <w:ind w:firstLine="709"/>
        <w:jc w:val="both"/>
        <w:rPr>
          <w:sz w:val="24"/>
          <w:szCs w:val="24"/>
        </w:rPr>
      </w:pPr>
      <w:r w:rsidRPr="00CA33E7">
        <w:rPr>
          <w:sz w:val="24"/>
          <w:szCs w:val="24"/>
        </w:rPr>
        <w:t xml:space="preserve">Incomodada com essa realidade, tenho refletido sobre como enfrentar essa violência e educar para a convivência e para o respeito ao outro? Como questionar o padrão ideal de sujeito, construído a partir da figura do “homem, heterossexual, branco e rico” e ampliar o senso de humanidade, equidade e empatia? </w:t>
      </w:r>
    </w:p>
    <w:p w14:paraId="2F8AF515" w14:textId="77777777" w:rsidR="005A6F3C" w:rsidRPr="00CA33E7" w:rsidRDefault="005A6F3C" w:rsidP="005A6F3C">
      <w:pPr>
        <w:spacing w:line="360" w:lineRule="auto"/>
        <w:ind w:firstLine="709"/>
        <w:jc w:val="both"/>
        <w:rPr>
          <w:sz w:val="24"/>
          <w:szCs w:val="24"/>
        </w:rPr>
      </w:pPr>
      <w:r w:rsidRPr="00CA33E7">
        <w:rPr>
          <w:sz w:val="24"/>
          <w:szCs w:val="24"/>
        </w:rPr>
        <w:t xml:space="preserve">Nesse sentido, a primeira questão a ser enfrentada é compreender que esse ideal de humano, apresentado como supostamente universal, não se constituiu naturalmente. Questionar o processo histórico de sua constituição é, portanto, parte </w:t>
      </w:r>
      <w:r w:rsidRPr="00CA33E7">
        <w:rPr>
          <w:sz w:val="24"/>
          <w:szCs w:val="24"/>
        </w:rPr>
        <w:lastRenderedPageBreak/>
        <w:t>das estratégias para enfrentá-lo. Outra estratégia consiste em dar ouvidos a outras humanidades, a outras histórias e agentes sociais, bem como a outras narrativas e interpretações sobre o mundo.</w:t>
      </w:r>
    </w:p>
    <w:p w14:paraId="00E8E666" w14:textId="77777777" w:rsidR="005A6F3C" w:rsidRPr="00CA33E7" w:rsidRDefault="005A6F3C" w:rsidP="005A6F3C">
      <w:pPr>
        <w:spacing w:line="360" w:lineRule="auto"/>
        <w:ind w:firstLine="709"/>
        <w:jc w:val="both"/>
        <w:rPr>
          <w:sz w:val="24"/>
          <w:szCs w:val="24"/>
        </w:rPr>
      </w:pPr>
      <w:r w:rsidRPr="00CA33E7">
        <w:rPr>
          <w:sz w:val="24"/>
          <w:szCs w:val="24"/>
        </w:rPr>
        <w:t>Nesse contexto, defendo o trabalho com as Histórias Indígenas como um dispositivo antirracista e proponho o desenvolvimento de estratégias pedagógicas como dispositivos de enfrentamento a essas violências.</w:t>
      </w:r>
    </w:p>
    <w:p w14:paraId="01DB7A46" w14:textId="77777777" w:rsidR="005A6F3C" w:rsidRPr="00CA33E7" w:rsidRDefault="005A6F3C" w:rsidP="005A6F3C">
      <w:pPr>
        <w:spacing w:line="360" w:lineRule="auto"/>
        <w:ind w:firstLine="709"/>
        <w:jc w:val="both"/>
        <w:rPr>
          <w:sz w:val="24"/>
          <w:szCs w:val="24"/>
        </w:rPr>
      </w:pPr>
      <w:r w:rsidRPr="00CA33E7">
        <w:rPr>
          <w:sz w:val="24"/>
          <w:szCs w:val="24"/>
        </w:rPr>
        <w:t>Tais proposições estão em consonância com a Lei nº 11.645/2008, que tornou obrigatório o ensino da história e da cultura dos povos indígenas na Educação Básica.</w:t>
      </w:r>
    </w:p>
    <w:p w14:paraId="5BEE9124" w14:textId="77777777" w:rsidR="005A6F3C" w:rsidRPr="00CA33E7" w:rsidRDefault="005A6F3C" w:rsidP="005A6F3C">
      <w:pPr>
        <w:spacing w:line="360" w:lineRule="auto"/>
        <w:ind w:firstLine="709"/>
        <w:jc w:val="both"/>
        <w:rPr>
          <w:b/>
          <w:bCs/>
          <w:sz w:val="24"/>
          <w:szCs w:val="24"/>
        </w:rPr>
      </w:pPr>
    </w:p>
    <w:p w14:paraId="6A4302E1" w14:textId="77777777" w:rsidR="005A6F3C" w:rsidRPr="00CA33E7" w:rsidRDefault="005A6F3C" w:rsidP="005A6F3C">
      <w:pPr>
        <w:spacing w:line="360" w:lineRule="auto"/>
        <w:ind w:firstLine="709"/>
        <w:jc w:val="both"/>
        <w:rPr>
          <w:b/>
          <w:bCs/>
          <w:sz w:val="24"/>
          <w:szCs w:val="24"/>
        </w:rPr>
      </w:pPr>
      <w:r w:rsidRPr="00CA33E7">
        <w:rPr>
          <w:b/>
          <w:bCs/>
          <w:sz w:val="24"/>
          <w:szCs w:val="24"/>
        </w:rPr>
        <w:t>Objetivos</w:t>
      </w:r>
    </w:p>
    <w:p w14:paraId="27D25971" w14:textId="77777777" w:rsidR="005A6F3C" w:rsidRPr="00CA33E7" w:rsidRDefault="005A6F3C" w:rsidP="005A6F3C">
      <w:pPr>
        <w:spacing w:line="360" w:lineRule="auto"/>
        <w:ind w:firstLine="709"/>
        <w:jc w:val="both"/>
        <w:rPr>
          <w:sz w:val="24"/>
          <w:szCs w:val="24"/>
        </w:rPr>
      </w:pPr>
      <w:r w:rsidRPr="00CA33E7">
        <w:rPr>
          <w:sz w:val="24"/>
          <w:szCs w:val="24"/>
        </w:rPr>
        <w:t>Este trabalho tem por objetivo refletir sobre como as Histórias Indígenas, a partir das proposições da Nova História Indígena, podem contribuir para uma educação antirracista, ampliando a compreensão de humanidade e valorizando diferentes modos de ser, conhecer e interpretar o mundo.</w:t>
      </w:r>
    </w:p>
    <w:p w14:paraId="4BBE0683" w14:textId="77777777" w:rsidR="005A6F3C" w:rsidRPr="00CA33E7" w:rsidRDefault="005A6F3C" w:rsidP="005A6F3C">
      <w:pPr>
        <w:spacing w:line="360" w:lineRule="auto"/>
        <w:ind w:firstLine="709"/>
        <w:jc w:val="both"/>
        <w:rPr>
          <w:sz w:val="24"/>
          <w:szCs w:val="24"/>
        </w:rPr>
      </w:pPr>
    </w:p>
    <w:p w14:paraId="540CADD9" w14:textId="77777777" w:rsidR="005A6F3C" w:rsidRPr="00CA33E7" w:rsidRDefault="005A6F3C" w:rsidP="005A6F3C">
      <w:pPr>
        <w:spacing w:line="360" w:lineRule="auto"/>
        <w:ind w:firstLine="709"/>
        <w:jc w:val="both"/>
        <w:rPr>
          <w:sz w:val="24"/>
          <w:szCs w:val="24"/>
        </w:rPr>
      </w:pPr>
      <w:r w:rsidRPr="00CA33E7">
        <w:rPr>
          <w:b/>
          <w:bCs/>
          <w:sz w:val="24"/>
          <w:szCs w:val="24"/>
        </w:rPr>
        <w:t>Referencial teórico</w:t>
      </w:r>
    </w:p>
    <w:p w14:paraId="05764B02" w14:textId="77777777" w:rsidR="005A6F3C" w:rsidRPr="00CA33E7" w:rsidRDefault="005A6F3C" w:rsidP="005A6F3C">
      <w:pPr>
        <w:spacing w:line="360" w:lineRule="auto"/>
        <w:ind w:firstLine="709"/>
        <w:jc w:val="both"/>
        <w:rPr>
          <w:sz w:val="24"/>
          <w:szCs w:val="24"/>
        </w:rPr>
      </w:pPr>
      <w:r w:rsidRPr="00CA33E7">
        <w:rPr>
          <w:sz w:val="24"/>
          <w:szCs w:val="24"/>
        </w:rPr>
        <w:t>A Nova História Indígena constitui uma corrente historiográfica desenvolvida a partir das contribuições de John Manuel Monteiro e Maria Regina Celestino de Almeida, em diálogo com o Movimento Indígena. Essa perspectiva evidencia a agência histórica dos povos indígenas na formação da sociedade brasileira e contrapõe-se às representações que os retratam como “bons selvagens”, desordeiros ou destinados à extinção (Kayapó, 2017), reconhecendo-os como sujeitos históricos capazes de elaborar estratégias e reconstruir seus modos de ser, em uma dinâmica de etnogênese (Monteiro, 2001) ainda em curso e fundamental para a constituição do Brasil.</w:t>
      </w:r>
    </w:p>
    <w:p w14:paraId="262831CB" w14:textId="77777777" w:rsidR="005A6F3C" w:rsidRPr="00CA33E7" w:rsidRDefault="005A6F3C" w:rsidP="005A6F3C">
      <w:pPr>
        <w:spacing w:line="360" w:lineRule="auto"/>
        <w:ind w:firstLine="709"/>
        <w:jc w:val="both"/>
        <w:rPr>
          <w:sz w:val="24"/>
          <w:szCs w:val="24"/>
        </w:rPr>
      </w:pPr>
      <w:r w:rsidRPr="00CA33E7">
        <w:rPr>
          <w:sz w:val="24"/>
          <w:szCs w:val="24"/>
        </w:rPr>
        <w:t xml:space="preserve">Essa abordagem também questiona a concepção moderna de história e temporalidade, marcada por um ideal universalista, linear e progressivo, e reconhece a existência de múltiplas temporalidades e </w:t>
      </w:r>
      <w:proofErr w:type="spellStart"/>
      <w:r w:rsidRPr="00CA33E7">
        <w:rPr>
          <w:sz w:val="24"/>
          <w:szCs w:val="24"/>
        </w:rPr>
        <w:t>cosmopercepções</w:t>
      </w:r>
      <w:proofErr w:type="spellEnd"/>
      <w:r w:rsidRPr="00CA33E7">
        <w:rPr>
          <w:sz w:val="24"/>
          <w:szCs w:val="24"/>
        </w:rPr>
        <w:t>. Assim, as narrativas indígenas não são reduzidas à condição de mito, folclore ou superstição, mas compreendidas como formas de conhecer e interpretar a realidade.</w:t>
      </w:r>
    </w:p>
    <w:p w14:paraId="6F0AF6B6" w14:textId="77777777" w:rsidR="005A6F3C" w:rsidRPr="00CA33E7" w:rsidRDefault="005A6F3C" w:rsidP="005A6F3C">
      <w:pPr>
        <w:spacing w:line="360" w:lineRule="auto"/>
        <w:ind w:firstLine="709"/>
        <w:jc w:val="both"/>
        <w:rPr>
          <w:sz w:val="24"/>
          <w:szCs w:val="24"/>
        </w:rPr>
      </w:pPr>
      <w:r w:rsidRPr="00CA33E7">
        <w:rPr>
          <w:sz w:val="24"/>
          <w:szCs w:val="24"/>
        </w:rPr>
        <w:t xml:space="preserve">Essa crítica articula-se às contribuições de Ramón </w:t>
      </w:r>
      <w:proofErr w:type="spellStart"/>
      <w:r w:rsidRPr="00CA33E7">
        <w:rPr>
          <w:sz w:val="24"/>
          <w:szCs w:val="24"/>
        </w:rPr>
        <w:t>Grosfoguel</w:t>
      </w:r>
      <w:proofErr w:type="spellEnd"/>
      <w:r w:rsidRPr="00CA33E7">
        <w:rPr>
          <w:sz w:val="24"/>
          <w:szCs w:val="24"/>
        </w:rPr>
        <w:t xml:space="preserve">, para quem as estruturas epistêmicas contemporâneas são constituídas a partir da produção de </w:t>
      </w:r>
      <w:r w:rsidRPr="00CA33E7">
        <w:rPr>
          <w:sz w:val="24"/>
          <w:szCs w:val="24"/>
        </w:rPr>
        <w:lastRenderedPageBreak/>
        <w:t>homens ocidentais de cinco países — França, Alemanha, Inglaterra, Estados Unidos e Itália —, sendo “regionais e provincianas, embora se apresentem como universais” e fundamentem as ciências humanas ocidentalizadas. O autor relaciona essa hierarquização dos saberes ao racismo e ao sexismo epistêmicos produzidos no “longo século XVI” (1450-1650), período marcado por genocídios e epistemicídios contra povos indígenas, africanos, muçulmanos e judeus, além da perseguição às mulheres acusadas de bruxaria. Nesse contexto, “o racismo institucional consolidou-se como princípio organizador da divisão internacional do trabalho e da acumulação capitalista em escala mundial” (</w:t>
      </w:r>
      <w:proofErr w:type="spellStart"/>
      <w:r w:rsidRPr="00CA33E7">
        <w:rPr>
          <w:sz w:val="24"/>
          <w:szCs w:val="24"/>
        </w:rPr>
        <w:t>Grosfoguel</w:t>
      </w:r>
      <w:proofErr w:type="spellEnd"/>
      <w:r w:rsidRPr="00CA33E7">
        <w:rPr>
          <w:sz w:val="24"/>
          <w:szCs w:val="24"/>
        </w:rPr>
        <w:t>, 2016, p. 39).</w:t>
      </w:r>
    </w:p>
    <w:p w14:paraId="12A78647" w14:textId="77777777" w:rsidR="005A6F3C" w:rsidRPr="00CA33E7" w:rsidRDefault="005A6F3C" w:rsidP="005A6F3C">
      <w:pPr>
        <w:spacing w:line="360" w:lineRule="auto"/>
        <w:ind w:firstLine="709"/>
        <w:jc w:val="both"/>
        <w:rPr>
          <w:sz w:val="24"/>
          <w:szCs w:val="24"/>
        </w:rPr>
      </w:pPr>
      <w:r w:rsidRPr="00CA33E7">
        <w:rPr>
          <w:sz w:val="24"/>
          <w:szCs w:val="24"/>
        </w:rPr>
        <w:t xml:space="preserve">Essa interpretação aproxima-se da crítica de Enrique </w:t>
      </w:r>
      <w:proofErr w:type="spellStart"/>
      <w:r w:rsidRPr="00CA33E7">
        <w:rPr>
          <w:sz w:val="24"/>
          <w:szCs w:val="24"/>
        </w:rPr>
        <w:t>Dussel</w:t>
      </w:r>
      <w:proofErr w:type="spellEnd"/>
      <w:r w:rsidRPr="00CA33E7">
        <w:rPr>
          <w:sz w:val="24"/>
          <w:szCs w:val="24"/>
        </w:rPr>
        <w:t xml:space="preserve"> (1993) à constituição da modernidade, compreendida não como um processo exclusivamente europeu, mas como um projeto articulado à colonização e à produção de hierarquias entre povos e saberes. Para </w:t>
      </w:r>
      <w:proofErr w:type="spellStart"/>
      <w:r w:rsidRPr="00CA33E7">
        <w:rPr>
          <w:sz w:val="24"/>
          <w:szCs w:val="24"/>
        </w:rPr>
        <w:t>Dussel</w:t>
      </w:r>
      <w:proofErr w:type="spellEnd"/>
      <w:r w:rsidRPr="00CA33E7">
        <w:rPr>
          <w:sz w:val="24"/>
          <w:szCs w:val="24"/>
        </w:rPr>
        <w:t>, a modernidade:</w:t>
      </w:r>
    </w:p>
    <w:p w14:paraId="3FD70379" w14:textId="77777777" w:rsidR="005A6F3C" w:rsidRPr="00CA33E7" w:rsidRDefault="005A6F3C" w:rsidP="005A6F3C">
      <w:pPr>
        <w:spacing w:line="360" w:lineRule="auto"/>
        <w:ind w:left="2832" w:firstLine="709"/>
        <w:jc w:val="both"/>
        <w:rPr>
          <w:sz w:val="24"/>
          <w:szCs w:val="24"/>
        </w:rPr>
      </w:pPr>
      <w:r w:rsidRPr="00CA33E7">
        <w:rPr>
          <w:sz w:val="24"/>
          <w:szCs w:val="24"/>
        </w:rPr>
        <w:t>nasceu quando a Europa pode se confrontar com o seu ‘Outro’ e controlá-lo, vencê-lo, violá-lo: quando pode se definir como um ‘ego’ descobridor, conquistador, colonizador da Alteridade constitutiva da própria Modernidade. (</w:t>
      </w:r>
      <w:proofErr w:type="spellStart"/>
      <w:r w:rsidRPr="00CA33E7">
        <w:rPr>
          <w:sz w:val="24"/>
          <w:szCs w:val="24"/>
        </w:rPr>
        <w:t>Dussel</w:t>
      </w:r>
      <w:proofErr w:type="spellEnd"/>
      <w:r w:rsidRPr="00CA33E7">
        <w:rPr>
          <w:sz w:val="24"/>
          <w:szCs w:val="24"/>
        </w:rPr>
        <w:t>, 1993, p. 8)</w:t>
      </w:r>
    </w:p>
    <w:p w14:paraId="36ACFCD8" w14:textId="77777777" w:rsidR="005A6F3C" w:rsidRPr="00CA33E7" w:rsidRDefault="005A6F3C" w:rsidP="005A6F3C">
      <w:pPr>
        <w:spacing w:line="360" w:lineRule="auto"/>
        <w:ind w:firstLine="709"/>
        <w:jc w:val="both"/>
        <w:rPr>
          <w:sz w:val="24"/>
          <w:szCs w:val="24"/>
        </w:rPr>
      </w:pPr>
      <w:r w:rsidRPr="00CA33E7">
        <w:rPr>
          <w:sz w:val="24"/>
          <w:szCs w:val="24"/>
        </w:rPr>
        <w:t>A partir dessas contribuições, compreende-se que a expansão europeia implicou não apenas a conquista territorial, mas também a imposição de uma ordem política, econômica e epistemológica que universalizou referenciais eurocentrados e marginalizou outros modos de viver. A Nova História Indígena constitui, nesse sentido, uma possibilidade de ruptura com essa lógica, ao questionar narrativas historicamente construídas sobre os povos indígenas, combater estereótipos e contribuir para uma educação comprometida com a diversidade étnica e o protagonismo indígena na constituição da sociedade brasileira.</w:t>
      </w:r>
    </w:p>
    <w:p w14:paraId="256CB3AD" w14:textId="77777777" w:rsidR="005A6F3C" w:rsidRPr="00CA33E7" w:rsidRDefault="005A6F3C" w:rsidP="005A6F3C">
      <w:pPr>
        <w:spacing w:line="360" w:lineRule="auto"/>
        <w:ind w:firstLine="709"/>
        <w:jc w:val="both"/>
        <w:rPr>
          <w:b/>
          <w:bCs/>
          <w:sz w:val="24"/>
          <w:szCs w:val="24"/>
        </w:rPr>
      </w:pPr>
    </w:p>
    <w:p w14:paraId="5635B915" w14:textId="77777777" w:rsidR="005A6F3C" w:rsidRPr="00CA33E7" w:rsidRDefault="005A6F3C" w:rsidP="005A6F3C">
      <w:pPr>
        <w:spacing w:line="360" w:lineRule="auto"/>
        <w:ind w:firstLine="709"/>
        <w:jc w:val="both"/>
        <w:rPr>
          <w:b/>
          <w:bCs/>
          <w:sz w:val="24"/>
          <w:szCs w:val="24"/>
        </w:rPr>
      </w:pPr>
      <w:r w:rsidRPr="00CA33E7">
        <w:rPr>
          <w:b/>
          <w:bCs/>
          <w:sz w:val="24"/>
          <w:szCs w:val="24"/>
        </w:rPr>
        <w:t>Metodologia</w:t>
      </w:r>
    </w:p>
    <w:p w14:paraId="660A2E2C" w14:textId="10DDD665" w:rsidR="005A6F3C" w:rsidRPr="00CA33E7" w:rsidRDefault="005A6F3C" w:rsidP="005A6F3C">
      <w:pPr>
        <w:spacing w:line="360" w:lineRule="auto"/>
        <w:ind w:firstLine="709"/>
        <w:jc w:val="both"/>
        <w:rPr>
          <w:sz w:val="24"/>
          <w:szCs w:val="24"/>
        </w:rPr>
      </w:pPr>
      <w:r w:rsidRPr="00CA33E7">
        <w:rPr>
          <w:sz w:val="24"/>
          <w:szCs w:val="24"/>
        </w:rPr>
        <w:t>Tenho levado para as aulas textos, imagens e vídeos produzidos por indígenas brasileiros</w:t>
      </w:r>
      <w:r w:rsidR="002D0782" w:rsidRPr="00CA33E7">
        <w:rPr>
          <w:sz w:val="24"/>
          <w:szCs w:val="24"/>
        </w:rPr>
        <w:t>.</w:t>
      </w:r>
      <w:r w:rsidRPr="00CA33E7">
        <w:rPr>
          <w:sz w:val="24"/>
          <w:szCs w:val="24"/>
        </w:rPr>
        <w:t xml:space="preserve"> Esse material é apreciado e analisado com os estudantes e desdobrado em atividades como leituras dramáticas, montagens teatrais, pesquisas em sites, rodas de conversa, criação de poemas desenhos e exposições coletivas. </w:t>
      </w:r>
    </w:p>
    <w:p w14:paraId="2F9A3C21" w14:textId="77777777" w:rsidR="005A6F3C" w:rsidRPr="00CA33E7" w:rsidRDefault="005A6F3C" w:rsidP="005A6F3C">
      <w:pPr>
        <w:spacing w:line="360" w:lineRule="auto"/>
        <w:ind w:firstLine="709"/>
        <w:jc w:val="both"/>
        <w:rPr>
          <w:sz w:val="24"/>
          <w:szCs w:val="24"/>
        </w:rPr>
      </w:pPr>
      <w:r w:rsidRPr="00CA33E7">
        <w:rPr>
          <w:sz w:val="24"/>
          <w:szCs w:val="24"/>
        </w:rPr>
        <w:lastRenderedPageBreak/>
        <w:t xml:space="preserve">Essas experiências integram as reflexões que desenvolvo no doutorado em Ensino de História, no </w:t>
      </w:r>
      <w:proofErr w:type="spellStart"/>
      <w:r w:rsidRPr="00CA33E7">
        <w:rPr>
          <w:sz w:val="24"/>
          <w:szCs w:val="24"/>
        </w:rPr>
        <w:t>ProfHistória</w:t>
      </w:r>
      <w:proofErr w:type="spellEnd"/>
      <w:r w:rsidRPr="00CA33E7">
        <w:rPr>
          <w:sz w:val="24"/>
          <w:szCs w:val="24"/>
        </w:rPr>
        <w:t>, que iniciei em 2026. Nesse percurso, tenho como intenção sistematizar as experiências desenvolvidas em sala de aula e produzir recursos pedagógicos voltados ao ensino de História e à educação antirracista.</w:t>
      </w:r>
    </w:p>
    <w:p w14:paraId="4B019847" w14:textId="77777777" w:rsidR="005A6F3C" w:rsidRPr="00CA33E7" w:rsidRDefault="005A6F3C" w:rsidP="005A6F3C">
      <w:pPr>
        <w:spacing w:line="360" w:lineRule="auto"/>
        <w:ind w:firstLine="709"/>
        <w:jc w:val="both"/>
        <w:rPr>
          <w:b/>
          <w:bCs/>
          <w:sz w:val="24"/>
          <w:szCs w:val="24"/>
        </w:rPr>
      </w:pPr>
    </w:p>
    <w:p w14:paraId="173BB0EA" w14:textId="77777777" w:rsidR="005A6F3C" w:rsidRPr="00CA33E7" w:rsidRDefault="005A6F3C" w:rsidP="005A6F3C">
      <w:pPr>
        <w:spacing w:line="360" w:lineRule="auto"/>
        <w:ind w:firstLine="709"/>
        <w:jc w:val="both"/>
        <w:rPr>
          <w:b/>
          <w:bCs/>
          <w:sz w:val="24"/>
          <w:szCs w:val="24"/>
        </w:rPr>
      </w:pPr>
      <w:r w:rsidRPr="00CA33E7">
        <w:rPr>
          <w:b/>
          <w:bCs/>
          <w:sz w:val="24"/>
          <w:szCs w:val="24"/>
        </w:rPr>
        <w:t>Resultados</w:t>
      </w:r>
    </w:p>
    <w:p w14:paraId="67FEC1AB" w14:textId="77777777" w:rsidR="005A6F3C" w:rsidRPr="00CA33E7" w:rsidRDefault="005A6F3C" w:rsidP="005A6F3C">
      <w:pPr>
        <w:spacing w:line="360" w:lineRule="auto"/>
        <w:ind w:firstLine="709"/>
        <w:jc w:val="both"/>
        <w:rPr>
          <w:sz w:val="24"/>
          <w:szCs w:val="24"/>
        </w:rPr>
      </w:pPr>
      <w:r w:rsidRPr="00CA33E7">
        <w:rPr>
          <w:sz w:val="24"/>
          <w:szCs w:val="24"/>
        </w:rPr>
        <w:t>Percebo que tenho conseguido contribuir para que os estudantes ampliem sua compreensão sobre a diversidade da população brasileira e reconheçam a existência de outras humanidades. Nesse processo, são destacadas outras formas de interpretar e compreender o mundo e, em especial, outras relações com a natureza, que se contrapõem à perspectiva dominante de concebê-la como recurso a ser explorado e possibilitam compreendê-la como um ser vivo, do qual também fazemos parte.</w:t>
      </w:r>
    </w:p>
    <w:p w14:paraId="3358B3F5" w14:textId="77777777" w:rsidR="005A6F3C" w:rsidRPr="00CA33E7" w:rsidRDefault="005A6F3C" w:rsidP="005A6F3C">
      <w:pPr>
        <w:spacing w:line="360" w:lineRule="auto"/>
        <w:ind w:firstLine="709"/>
        <w:jc w:val="both"/>
        <w:rPr>
          <w:b/>
          <w:bCs/>
          <w:sz w:val="24"/>
          <w:szCs w:val="24"/>
        </w:rPr>
      </w:pPr>
    </w:p>
    <w:p w14:paraId="6CFC9AFD" w14:textId="77777777" w:rsidR="005A6F3C" w:rsidRPr="00CA33E7" w:rsidRDefault="005A6F3C" w:rsidP="005A6F3C">
      <w:pPr>
        <w:spacing w:line="360" w:lineRule="auto"/>
        <w:ind w:firstLine="709"/>
        <w:jc w:val="both"/>
        <w:rPr>
          <w:b/>
          <w:bCs/>
          <w:sz w:val="24"/>
          <w:szCs w:val="24"/>
        </w:rPr>
      </w:pPr>
      <w:r w:rsidRPr="00CA33E7">
        <w:rPr>
          <w:b/>
          <w:bCs/>
          <w:sz w:val="24"/>
          <w:szCs w:val="24"/>
        </w:rPr>
        <w:t>Considerações finais</w:t>
      </w:r>
    </w:p>
    <w:p w14:paraId="7CE3FFDF" w14:textId="77777777" w:rsidR="00123CD6" w:rsidRPr="00CA33E7" w:rsidRDefault="00123CD6" w:rsidP="00123CD6">
      <w:pPr>
        <w:spacing w:line="360" w:lineRule="auto"/>
        <w:ind w:firstLine="709"/>
        <w:jc w:val="both"/>
        <w:rPr>
          <w:sz w:val="24"/>
          <w:szCs w:val="24"/>
        </w:rPr>
      </w:pPr>
    </w:p>
    <w:p w14:paraId="00905786" w14:textId="2C8E9C6C" w:rsidR="00123CD6" w:rsidRPr="00CA33E7" w:rsidRDefault="00340E73" w:rsidP="00123CD6">
      <w:pPr>
        <w:spacing w:line="360" w:lineRule="auto"/>
        <w:ind w:firstLine="709"/>
        <w:jc w:val="both"/>
        <w:rPr>
          <w:sz w:val="24"/>
          <w:szCs w:val="24"/>
        </w:rPr>
      </w:pPr>
      <w:r w:rsidRPr="00CA33E7">
        <w:rPr>
          <w:sz w:val="24"/>
          <w:szCs w:val="24"/>
        </w:rPr>
        <w:t>A</w:t>
      </w:r>
      <w:r w:rsidR="00123CD6" w:rsidRPr="00CA33E7">
        <w:rPr>
          <w:sz w:val="24"/>
          <w:szCs w:val="24"/>
        </w:rPr>
        <w:t xml:space="preserve"> pesquisa aqui enunciada prevê como desdobramento, a sistematização das experiências em sequências didáticas e outros recursos pedagógicos a serem compartilhados com professores, articulando a pesquisa de doutorado à experiência docente e contribuindo para o ensino das Histórias Indígenas e para a educação das relações étnico-raciais.</w:t>
      </w:r>
    </w:p>
    <w:p w14:paraId="5952471A" w14:textId="77777777" w:rsidR="00786F0B" w:rsidRDefault="00786F0B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5952471B" w14:textId="6B8F416F" w:rsidR="00786F0B" w:rsidRDefault="00CA6B17" w:rsidP="009B71D6">
      <w:pPr>
        <w:keepLines/>
        <w:widowControl w:val="0"/>
        <w:tabs>
          <w:tab w:val="left" w:pos="5623"/>
        </w:tabs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  <w:r w:rsidR="009B71D6">
        <w:rPr>
          <w:b/>
          <w:bCs/>
          <w:sz w:val="24"/>
          <w:szCs w:val="24"/>
        </w:rPr>
        <w:tab/>
      </w:r>
    </w:p>
    <w:p w14:paraId="0A774D79" w14:textId="77777777" w:rsidR="00A30697" w:rsidRPr="000C5486" w:rsidRDefault="00A30697" w:rsidP="00A30697">
      <w:pPr>
        <w:spacing w:line="360" w:lineRule="auto"/>
        <w:jc w:val="both"/>
      </w:pPr>
      <w:r w:rsidRPr="000C5486">
        <w:t>Educação antirracista; Ensino de História; Relações étnico-raciais; Nova História Indígena.</w:t>
      </w:r>
    </w:p>
    <w:p w14:paraId="5952471D" w14:textId="77777777" w:rsidR="00786F0B" w:rsidRDefault="00786F0B">
      <w:pPr>
        <w:keepLines/>
        <w:widowControl w:val="0"/>
        <w:spacing w:line="240" w:lineRule="auto"/>
        <w:rPr>
          <w:sz w:val="24"/>
          <w:szCs w:val="24"/>
        </w:rPr>
      </w:pPr>
    </w:p>
    <w:p w14:paraId="5952471E" w14:textId="77777777" w:rsidR="00786F0B" w:rsidRDefault="00786F0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952471F" w14:textId="77777777" w:rsidR="00786F0B" w:rsidRDefault="00CA6B17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0949BF14" w14:textId="77777777" w:rsidR="00661415" w:rsidRPr="00CA33E7" w:rsidRDefault="00661415" w:rsidP="00661415">
      <w:pPr>
        <w:adjustRightInd w:val="0"/>
        <w:spacing w:line="360" w:lineRule="auto"/>
        <w:jc w:val="both"/>
        <w:rPr>
          <w:sz w:val="24"/>
          <w:szCs w:val="24"/>
        </w:rPr>
      </w:pPr>
    </w:p>
    <w:p w14:paraId="5A7E2A59" w14:textId="0993E1CA" w:rsidR="00436A6D" w:rsidRPr="00CA33E7" w:rsidRDefault="00436A6D" w:rsidP="00661415">
      <w:pPr>
        <w:adjustRightInd w:val="0"/>
        <w:spacing w:after="240" w:line="360" w:lineRule="auto"/>
        <w:jc w:val="both"/>
        <w:rPr>
          <w:sz w:val="24"/>
          <w:szCs w:val="24"/>
        </w:rPr>
      </w:pPr>
      <w:r w:rsidRPr="00CA33E7">
        <w:rPr>
          <w:sz w:val="24"/>
          <w:szCs w:val="24"/>
        </w:rPr>
        <w:t xml:space="preserve">DUSSEL, Enrique. </w:t>
      </w:r>
      <w:r w:rsidRPr="00CA33E7">
        <w:rPr>
          <w:i/>
          <w:iCs/>
          <w:sz w:val="24"/>
          <w:szCs w:val="24"/>
        </w:rPr>
        <w:t>1492: o encobrimento do outro: a origem do mito da modernidade: conferências de Frankfurt</w:t>
      </w:r>
      <w:r w:rsidRPr="00CA33E7">
        <w:rPr>
          <w:sz w:val="24"/>
          <w:szCs w:val="24"/>
        </w:rPr>
        <w:t xml:space="preserve">. Tradução de Jaime A. </w:t>
      </w:r>
      <w:proofErr w:type="spellStart"/>
      <w:r w:rsidRPr="00CA33E7">
        <w:rPr>
          <w:sz w:val="24"/>
          <w:szCs w:val="24"/>
        </w:rPr>
        <w:t>Clasen</w:t>
      </w:r>
      <w:proofErr w:type="spellEnd"/>
      <w:r w:rsidRPr="00CA33E7">
        <w:rPr>
          <w:sz w:val="24"/>
          <w:szCs w:val="24"/>
        </w:rPr>
        <w:t>. Petrópolis, RJ: Vozes, 1993.</w:t>
      </w:r>
    </w:p>
    <w:p w14:paraId="352B85A7" w14:textId="77777777" w:rsidR="00436A6D" w:rsidRPr="00CA33E7" w:rsidRDefault="00436A6D" w:rsidP="00661415">
      <w:pPr>
        <w:adjustRightInd w:val="0"/>
        <w:spacing w:after="240" w:line="360" w:lineRule="auto"/>
        <w:jc w:val="both"/>
        <w:rPr>
          <w:sz w:val="24"/>
          <w:szCs w:val="24"/>
        </w:rPr>
      </w:pPr>
      <w:r w:rsidRPr="00CA33E7">
        <w:rPr>
          <w:sz w:val="24"/>
          <w:szCs w:val="24"/>
        </w:rPr>
        <w:t xml:space="preserve">GROSFOGUEL, Ramón. A estrutura do conhecimento nas universidades ocidentalizadas: racismo/sexismo epistêmico e os quatro genocídios/epistemicídios do longo século XVI. </w:t>
      </w:r>
      <w:r w:rsidRPr="00CA33E7">
        <w:rPr>
          <w:i/>
          <w:iCs/>
          <w:sz w:val="24"/>
          <w:szCs w:val="24"/>
        </w:rPr>
        <w:t>Sociedade e Estado</w:t>
      </w:r>
      <w:r w:rsidRPr="00CA33E7">
        <w:rPr>
          <w:sz w:val="24"/>
          <w:szCs w:val="24"/>
        </w:rPr>
        <w:t>, Brasília, v. 31, n. 1, p. 25-49, jan./abr. 2016.</w:t>
      </w:r>
    </w:p>
    <w:p w14:paraId="61B33208" w14:textId="77777777" w:rsidR="00436A6D" w:rsidRPr="00CA33E7" w:rsidRDefault="00436A6D" w:rsidP="00661415">
      <w:pPr>
        <w:adjustRightInd w:val="0"/>
        <w:spacing w:after="240" w:line="360" w:lineRule="auto"/>
        <w:jc w:val="both"/>
        <w:rPr>
          <w:sz w:val="24"/>
          <w:szCs w:val="24"/>
        </w:rPr>
      </w:pPr>
      <w:r w:rsidRPr="00CA33E7">
        <w:rPr>
          <w:sz w:val="24"/>
          <w:szCs w:val="24"/>
        </w:rPr>
        <w:lastRenderedPageBreak/>
        <w:t xml:space="preserve">KAYAPÓ, Edson. </w:t>
      </w:r>
      <w:r w:rsidRPr="00CA33E7">
        <w:rPr>
          <w:i/>
          <w:iCs/>
          <w:sz w:val="24"/>
          <w:szCs w:val="24"/>
        </w:rPr>
        <w:t>A invenção dos índios nas narrativas sobre o Brasil: o ensino da temática indígena</w:t>
      </w:r>
      <w:r w:rsidRPr="00CA33E7">
        <w:rPr>
          <w:sz w:val="24"/>
          <w:szCs w:val="24"/>
        </w:rPr>
        <w:t>. Recife: Edições Rascunho, 2017.</w:t>
      </w:r>
    </w:p>
    <w:p w14:paraId="59524722" w14:textId="27CDD4D8" w:rsidR="00786F0B" w:rsidRPr="00CA33E7" w:rsidRDefault="00436A6D" w:rsidP="00123CD6">
      <w:pPr>
        <w:adjustRightInd w:val="0"/>
        <w:spacing w:after="240" w:line="360" w:lineRule="auto"/>
        <w:jc w:val="both"/>
        <w:rPr>
          <w:b/>
          <w:bCs/>
          <w:sz w:val="24"/>
          <w:szCs w:val="24"/>
        </w:rPr>
      </w:pPr>
      <w:r w:rsidRPr="00CA33E7">
        <w:rPr>
          <w:sz w:val="24"/>
          <w:szCs w:val="24"/>
        </w:rPr>
        <w:t xml:space="preserve">MONTEIRO, John Manuel. </w:t>
      </w:r>
      <w:r w:rsidRPr="00CA33E7">
        <w:rPr>
          <w:i/>
          <w:iCs/>
          <w:sz w:val="24"/>
          <w:szCs w:val="24"/>
        </w:rPr>
        <w:t>Tupis, tapuias e historiadores: estudos de história indígena e do indigenismo</w:t>
      </w:r>
      <w:r w:rsidRPr="00CA33E7">
        <w:rPr>
          <w:sz w:val="24"/>
          <w:szCs w:val="24"/>
        </w:rPr>
        <w:t>. 2001. Tese (Livre-docência) – Instituto de Filosofia e Ciências Humanas, Universidade Estadual de Campinas, Campinas, 2001.</w:t>
      </w:r>
    </w:p>
    <w:sectPr w:rsidR="00786F0B" w:rsidRPr="00CA33E7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35813" w14:textId="77777777" w:rsidR="00E8387D" w:rsidRDefault="00E8387D">
      <w:pPr>
        <w:spacing w:line="240" w:lineRule="auto"/>
      </w:pPr>
      <w:r>
        <w:separator/>
      </w:r>
    </w:p>
  </w:endnote>
  <w:endnote w:type="continuationSeparator" w:id="0">
    <w:p w14:paraId="1BBEE385" w14:textId="77777777" w:rsidR="00E8387D" w:rsidRDefault="00E838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A2083C-4531-44BF-8EF4-875D1759AE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E10C98C-16DC-4F40-9C2E-4C037A96E7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24727" w14:textId="359E52F8" w:rsidR="00786F0B" w:rsidRDefault="00CA6B17">
    <w:pPr>
      <w:jc w:val="center"/>
    </w:pPr>
    <w:r>
      <w:fldChar w:fldCharType="begin"/>
    </w:r>
    <w:r>
      <w:instrText>PAGE</w:instrText>
    </w:r>
    <w:r>
      <w:fldChar w:fldCharType="separate"/>
    </w:r>
    <w:r w:rsidR="00346717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24729" w14:textId="77777777" w:rsidR="00786F0B" w:rsidRDefault="00786F0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50A9F" w14:textId="77777777" w:rsidR="00E8387D" w:rsidRDefault="00E8387D">
      <w:pPr>
        <w:spacing w:line="240" w:lineRule="auto"/>
      </w:pPr>
      <w:r>
        <w:separator/>
      </w:r>
    </w:p>
  </w:footnote>
  <w:footnote w:type="continuationSeparator" w:id="0">
    <w:p w14:paraId="0AE40692" w14:textId="77777777" w:rsidR="00E8387D" w:rsidRDefault="00E838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24723" w14:textId="77777777" w:rsidR="00786F0B" w:rsidRDefault="00CA6B17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5952472A" wp14:editId="5952472B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952472C" wp14:editId="5952472D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9524724" w14:textId="77777777" w:rsidR="00786F0B" w:rsidRDefault="00786F0B">
    <w:pPr>
      <w:jc w:val="right"/>
    </w:pPr>
  </w:p>
  <w:p w14:paraId="59524725" w14:textId="77777777" w:rsidR="00786F0B" w:rsidRDefault="00786F0B">
    <w:pPr>
      <w:jc w:val="right"/>
    </w:pPr>
  </w:p>
  <w:p w14:paraId="59524726" w14:textId="77777777" w:rsidR="00786F0B" w:rsidRDefault="00CA6B17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5952472E" wp14:editId="5952472F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24728" w14:textId="77777777" w:rsidR="00786F0B" w:rsidRDefault="00786F0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F0B"/>
    <w:rsid w:val="000B5654"/>
    <w:rsid w:val="00123CD6"/>
    <w:rsid w:val="00165D6E"/>
    <w:rsid w:val="001C20FE"/>
    <w:rsid w:val="002C3012"/>
    <w:rsid w:val="002D0782"/>
    <w:rsid w:val="00340E73"/>
    <w:rsid w:val="00346717"/>
    <w:rsid w:val="00373107"/>
    <w:rsid w:val="00436A6D"/>
    <w:rsid w:val="00464898"/>
    <w:rsid w:val="004B618B"/>
    <w:rsid w:val="005A6F3C"/>
    <w:rsid w:val="005F1498"/>
    <w:rsid w:val="00611ACA"/>
    <w:rsid w:val="00661415"/>
    <w:rsid w:val="006A62F0"/>
    <w:rsid w:val="006B279E"/>
    <w:rsid w:val="00727D94"/>
    <w:rsid w:val="00786F0B"/>
    <w:rsid w:val="008005BB"/>
    <w:rsid w:val="008D781D"/>
    <w:rsid w:val="0093393E"/>
    <w:rsid w:val="009957FE"/>
    <w:rsid w:val="009B6B68"/>
    <w:rsid w:val="009B71D6"/>
    <w:rsid w:val="00A30697"/>
    <w:rsid w:val="00BE19AD"/>
    <w:rsid w:val="00CA33E7"/>
    <w:rsid w:val="00CA6B17"/>
    <w:rsid w:val="00CD034A"/>
    <w:rsid w:val="00D10F65"/>
    <w:rsid w:val="00D34FF1"/>
    <w:rsid w:val="00DD3463"/>
    <w:rsid w:val="00E8387D"/>
    <w:rsid w:val="00EC555E"/>
    <w:rsid w:val="00EF694D"/>
    <w:rsid w:val="00F15F58"/>
    <w:rsid w:val="00F6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246F4"/>
  <w15:docId w15:val="{9BAF7DFC-F808-4270-8047-F27F3B298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1139</Words>
  <Characters>7010</Characters>
  <Application>Microsoft Office Word</Application>
  <DocSecurity>0</DocSecurity>
  <Lines>132</Lines>
  <Paragraphs>38</Paragraphs>
  <ScaleCrop>false</ScaleCrop>
  <Company/>
  <LinksUpToDate>false</LinksUpToDate>
  <CharactersWithSpaces>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Izis Mueller</cp:lastModifiedBy>
  <cp:revision>6</cp:revision>
  <dcterms:created xsi:type="dcterms:W3CDTF">2026-08-17T01:26:00Z</dcterms:created>
  <dcterms:modified xsi:type="dcterms:W3CDTF">2026-08-17T01:37:00Z</dcterms:modified>
</cp:coreProperties>
</file>