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widowControl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GÊNERO, RAÇA E SEXUALIDADE NA EDUCAÇÃO: INTERSECCIONALIDADES, TERRITÓRIOS DE (RE)EXISTÊNCIA E PEDAGOGIAS DESOBEDIENTES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Lines w:val="1"/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uso do jogo “O Encanto das Identidades” como proposta de educação interseccional e decolonial</w:t>
      </w:r>
    </w:p>
    <w:p w:rsidR="00000000" w:rsidDel="00000000" w:rsidP="00000000" w:rsidRDefault="00000000" w:rsidRPr="00000000" w14:paraId="00000005">
      <w:pPr>
        <w:keepLines w:val="1"/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Lines w:val="1"/>
        <w:widowControl w:val="0"/>
        <w:spacing w:line="24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Kesya Patriny Marques de Oliveira, UFG, kesya.patriny@discente.ufg.br</w:t>
      </w:r>
    </w:p>
    <w:p w:rsidR="00000000" w:rsidDel="00000000" w:rsidP="00000000" w:rsidRDefault="00000000" w:rsidRPr="00000000" w14:paraId="00000008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RESUMO</w:t>
      </w:r>
    </w:p>
    <w:p w:rsidR="00000000" w:rsidDel="00000000" w:rsidP="00000000" w:rsidRDefault="00000000" w:rsidRPr="00000000" w14:paraId="0000000C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trabalho tem como objetivo ilustrar como o uso do jogo “O Encanto das Identidades” pode ser ferramenta para uma educação interseccional, plural e decolonial. O relato se dá pela percepção de que a oferta de conteúdos sobre gênero, sexualidade, raça e inclusão no ensino básico de sociologia são escassos devido a um sistema educacional colonialista e discriminatório. Esse modelo pedagógico empresarial e enrijecido afeta primeiramente os/as educadores/as que não absorvem abordagens diversas e cria-se um déficit de aprendizagens outras. </w:t>
      </w:r>
    </w:p>
    <w:p w:rsidR="00000000" w:rsidDel="00000000" w:rsidP="00000000" w:rsidRDefault="00000000" w:rsidRPr="00000000" w14:paraId="0000000E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Pensando nisso, foi solicitado como nota final em uma disciplina de laboratório de pesquisa aplicada à educação no curso de licenciatura em ciências sociais da Universidade Federal de Goiás, um jogo pedagógico. Este foi produzido para a aplicação do tema de identidade e diferenças, com base nas teorias de Tomas Tadeu (2014) no ensino de Sociologia para o Ensino Médio e futuramente, com a turma da EJA. </w:t>
      </w:r>
    </w:p>
    <w:p w:rsidR="00000000" w:rsidDel="00000000" w:rsidP="00000000" w:rsidRDefault="00000000" w:rsidRPr="00000000" w14:paraId="0000000F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Aqui pode-se encruzilhar diversas pedagogias imaginadas e muitas vezes colocadas em práticas por professores e professoras dispostos a romper com esse sistema educacional opressor. Com o cruzamento da educação transgressora por Bell Hooks (2013), </w:t>
      </w:r>
      <w:r w:rsidDel="00000000" w:rsidR="00000000" w:rsidRPr="00000000">
        <w:rPr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 pedagogia das encruzilhadas de Luiz Rufino (2019) e a educação libertadora de Paulo Freire (2025), possibilita tanto a/o educador/</w:t>
      </w:r>
      <w:r w:rsidDel="00000000" w:rsidR="00000000" w:rsidRPr="00000000">
        <w:rPr>
          <w:sz w:val="24"/>
          <w:szCs w:val="24"/>
          <w:rtl w:val="0"/>
        </w:rPr>
        <w:t xml:space="preserve">a e o</w:t>
      </w:r>
      <w:r w:rsidDel="00000000" w:rsidR="00000000" w:rsidRPr="00000000">
        <w:rPr>
          <w:sz w:val="24"/>
          <w:szCs w:val="24"/>
          <w:rtl w:val="0"/>
        </w:rPr>
        <w:t xml:space="preserve">/a estudante desbravarem de seus caos, sua liberdade e produzir trocas capazes de construir novas maneiras de aprender, de ensinar e de aprender a ensinar. </w:t>
      </w:r>
    </w:p>
    <w:p w:rsidR="00000000" w:rsidDel="00000000" w:rsidP="00000000" w:rsidRDefault="00000000" w:rsidRPr="00000000" w14:paraId="00000010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É preciso romper o medo de ser transgressor, o medo de um “[...] ensino a partir de um ponto de vista que inclua uma consciência da raça, do sexo e da classe social tem suas raízes , muitas vezes, no medo de que a sala se torne incontrolável [...]” (hooks, 2013). O incontrolável em uma sala de aula pode ser bom, é olhar para uma nova perspectiva do caótico e colocá-lo na posição do criativo, “Afinal, a própria noção de encruzilhada é um saber praticado ancestralmente que aqui é lançado como disponibilidade para novos horizontes” (RUFINO, 2019), horizontes estes “que reivindicam a sofisticação de um mundo plural, pujante e vigoroso, contrário e combativo ao desencanto do mundo.” (RUFINO, 2019). </w:t>
      </w:r>
    </w:p>
    <w:p w:rsidR="00000000" w:rsidDel="00000000" w:rsidP="00000000" w:rsidRDefault="00000000" w:rsidRPr="00000000" w14:paraId="00000011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análise foi feita a partir de uma observação participante da aplicação do jogo, inicialmente criado para a disciplina, que foi levado posteriormente para o contexto do  Programa Institucional de Bolsa de Iniciação à Docência (PIBID), utilizado em uma aula para o Instituto Federal de Goiás na turma da Educação de Jovens e Adultos (EJA). Através das experiências com o jogo, é perceptível a falta de pedagogias antirracistas, </w:t>
      </w:r>
      <w:r w:rsidDel="00000000" w:rsidR="00000000" w:rsidRPr="00000000">
        <w:rPr>
          <w:sz w:val="24"/>
          <w:szCs w:val="24"/>
          <w:rtl w:val="0"/>
        </w:rPr>
        <w:t xml:space="preserve">antimachistas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anticapacitistas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sz w:val="24"/>
          <w:szCs w:val="24"/>
          <w:rtl w:val="0"/>
        </w:rPr>
        <w:t xml:space="preserve">decolonias</w:t>
      </w:r>
      <w:r w:rsidDel="00000000" w:rsidR="00000000" w:rsidRPr="00000000">
        <w:rPr>
          <w:sz w:val="24"/>
          <w:szCs w:val="24"/>
          <w:rtl w:val="0"/>
        </w:rPr>
        <w:t xml:space="preserve"> e como ele pode ser usado para o preenchimento dessa falta. </w:t>
      </w:r>
    </w:p>
    <w:p w:rsidR="00000000" w:rsidDel="00000000" w:rsidP="00000000" w:rsidRDefault="00000000" w:rsidRPr="00000000" w14:paraId="00000012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jogo tem como temática ilustrativa os Encantados, seres da floresta geralmente conhecidos como personagens do folclore. Tendo como principais personagens a Cuca com deficiência visual, o Curupira como autista, a Iara como uma pessoa em cadeira de rodas, Saci usando muletas e a Mula como pessoa não binária. Estas entidades ligadas aos povos indígenas e com identidades únicas por si só já trazem a reflexão da interseccionalidade e diversidade instigando a quem joga a reflexão dessas características plurais. </w:t>
      </w:r>
    </w:p>
    <w:p w:rsidR="00000000" w:rsidDel="00000000" w:rsidP="00000000" w:rsidRDefault="00000000" w:rsidRPr="00000000" w14:paraId="00000013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atividade foi realizada primeiramente contextualizando os/as alunos/as sobre a temática de Identidades e Diferenças com base na percepção de Tomas Tadeu (2014) e logo depois explicando a funcionalidade do jogo. É uma proposta de tabuleiro com casas especiais ligadas aos personagens do jogo e obstáculos contendo perguntas relacionadas ao tema, com uma separação de 5 grupos, cada qual para um personagem. </w:t>
      </w:r>
    </w:p>
    <w:p w:rsidR="00000000" w:rsidDel="00000000" w:rsidP="00000000" w:rsidRDefault="00000000" w:rsidRPr="00000000" w14:paraId="00000014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experiência seguiu bem, os e as participantes interagiram de forma efetiva com a dinâmica, sempre se esforçando para responderem as perguntas e mesmo quando não as contemplavam totalmente, eu os/as auxiliava como necessário, assim sentia que eles e elas absorviam melhor o conteúdo. Nos momentos das casas especiais era sempre uma comoção, as pessoas ali estavam de fato envolvidas e era perceptível nesses momentos. </w:t>
      </w:r>
    </w:p>
    <w:p w:rsidR="00000000" w:rsidDel="00000000" w:rsidP="00000000" w:rsidRDefault="00000000" w:rsidRPr="00000000" w14:paraId="00000015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momento específico muito marcante foi a casa especial da Iara, onde o grupo que caía nela tinham que cantar uma música romântica e o grupo escolheu “O Que É o Que É?” do Gonzaguinha, ali toda a sala se empenhou cantando em coral transformando o momento em uma emocionante experiência tornando evidente que quando a educação é libertadora, ela pode ser bonita e eficaz. </w:t>
      </w:r>
    </w:p>
    <w:p w:rsidR="00000000" w:rsidDel="00000000" w:rsidP="00000000" w:rsidRDefault="00000000" w:rsidRPr="00000000" w14:paraId="00000016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vários  momentos da atividade os/as estudantes demonstraram certo conhecimento sobre algumas pautas que estavam sendo trabalhadas ali, mas houve uma situação, onde certa aluna exemplificou uma resposta questionando sobre o gênero de uma determinada celebridade, ali abriu-se uma porta para tratarmos do assunto e sanar suas dúvidas, claro que para uma melhor compreensão seria necessário algumas outras aulas destinadas somente a isso, mas só de ter esclarecido uma inquietação sinaliza que o jogo cumpre com sua proposição. </w:t>
      </w:r>
    </w:p>
    <w:p w:rsidR="00000000" w:rsidDel="00000000" w:rsidP="00000000" w:rsidRDefault="00000000" w:rsidRPr="00000000" w14:paraId="00000017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“O Encanto das Identidades” tem muitas melhorias a serem feitas, mais particularmente em sua execução, após o primeiro teste alguns detalhes precisam ser ajustados, como a separação de uma aula integral para a explicação do conteúdo e a criação de um manual. Mesmo com essas observações a prática revela uma satisfação das pessoas envolvidas e uma boa absorção do assunto. O jogo dispõe de uma oposição da educação bancária, já que se põe em um lugar contrário da memorização. </w:t>
      </w:r>
    </w:p>
    <w:p w:rsidR="00000000" w:rsidDel="00000000" w:rsidP="00000000" w:rsidRDefault="00000000" w:rsidRPr="00000000" w14:paraId="00000018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Contudo, mais comumente, “Em lugar de comunicar-se, o educador faz ‘comunicados’ e depósitos que os educandos, meras incidências, recebem pacientemente, memorizam e repetem.” (FREIRE, 2025). Com essa proposta de atividade, os/as participantes se engajam para construir respostas em grupo, e em conjunto com o/a educador/educadora assim internalizando de fato um saber. E nesse jogo o saber alcança vários espaços e corpos, o gênero, a sexualidade, a raça, a inclusão e a </w:t>
      </w:r>
      <w:r w:rsidDel="00000000" w:rsidR="00000000" w:rsidRPr="00000000">
        <w:rPr>
          <w:sz w:val="24"/>
          <w:szCs w:val="24"/>
          <w:rtl w:val="0"/>
        </w:rPr>
        <w:t xml:space="preserve">decolonialidade</w:t>
      </w:r>
      <w:r w:rsidDel="00000000" w:rsidR="00000000" w:rsidRPr="00000000">
        <w:rPr>
          <w:sz w:val="24"/>
          <w:szCs w:val="24"/>
          <w:rtl w:val="0"/>
        </w:rPr>
        <w:t xml:space="preserve"> de uma forma mais acessível e acolhedora. A construção do jogo é apenas uma das múltiplas possibilidades de fazeres pedagógicos quando a formação do do/a professor/a é de amor e luta. </w:t>
      </w:r>
    </w:p>
    <w:p w:rsidR="00000000" w:rsidDel="00000000" w:rsidP="00000000" w:rsidRDefault="00000000" w:rsidRPr="00000000" w14:paraId="00000019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Lines w:val="1"/>
        <w:widowControl w:val="0"/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PALAVRAS-CHAVE</w:t>
      </w:r>
    </w:p>
    <w:p w:rsidR="00000000" w:rsidDel="00000000" w:rsidP="00000000" w:rsidRDefault="00000000" w:rsidRPr="00000000" w14:paraId="0000001B">
      <w:pPr>
        <w:keepLines w:val="1"/>
        <w:widowControl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Jogo; Educação; Interseccionalidade; Decolonial.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REFERÊNCIAS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FREIRE, Paulo. </w:t>
      </w:r>
      <w:r w:rsidDel="00000000" w:rsidR="00000000" w:rsidRPr="00000000">
        <w:rPr>
          <w:i w:val="1"/>
          <w:iCs w:val="1"/>
          <w:rtl w:val="0"/>
        </w:rPr>
        <w:t xml:space="preserve">Pedagogia do Oprimido</w:t>
      </w:r>
      <w:r w:rsidDel="00000000" w:rsidR="00000000" w:rsidRPr="00000000">
        <w:rPr>
          <w:rtl w:val="0"/>
        </w:rPr>
        <w:t xml:space="preserve">. 91° ed. Rio de Janeiro: Paz e Terra, 2025, p. 80</w:t>
      </w:r>
    </w:p>
    <w:p w:rsidR="00000000" w:rsidDel="00000000" w:rsidP="00000000" w:rsidRDefault="00000000" w:rsidRPr="00000000" w14:paraId="0000002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="240" w:lineRule="auto"/>
        <w:jc w:val="both"/>
        <w:rPr/>
      </w:pPr>
      <w:r w:rsidDel="00000000" w:rsidR="00000000" w:rsidRPr="00000000">
        <w:rPr>
          <w:rtl w:val="0"/>
        </w:rPr>
        <w:t xml:space="preserve">GONZAGUINHA. </w:t>
      </w:r>
      <w:r w:rsidDel="00000000" w:rsidR="00000000" w:rsidRPr="00000000">
        <w:rPr>
          <w:i w:val="1"/>
          <w:iCs w:val="1"/>
          <w:rtl w:val="0"/>
        </w:rPr>
        <w:t xml:space="preserve">O que é, o que é?</w:t>
      </w:r>
      <w:r w:rsidDel="00000000" w:rsidR="00000000" w:rsidRPr="00000000">
        <w:rPr>
          <w:rtl w:val="0"/>
        </w:rPr>
        <w:t xml:space="preserve"> In: Caminhos do coração. Rio de Janeiro: EMI Odeon, 1982. Faixa 3.</w:t>
      </w:r>
    </w:p>
    <w:p w:rsidR="00000000" w:rsidDel="00000000" w:rsidP="00000000" w:rsidRDefault="00000000" w:rsidRPr="00000000" w14:paraId="0000002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hooks</w:t>
      </w:r>
      <w:r w:rsidDel="00000000" w:rsidR="00000000" w:rsidRPr="00000000">
        <w:rPr>
          <w:rtl w:val="0"/>
        </w:rPr>
        <w:t xml:space="preserve">, Bell. </w:t>
      </w:r>
      <w:r w:rsidDel="00000000" w:rsidR="00000000" w:rsidRPr="00000000">
        <w:rPr>
          <w:i w:val="1"/>
          <w:iCs w:val="1"/>
          <w:rtl w:val="0"/>
        </w:rPr>
        <w:t xml:space="preserve">Ensinando a transgredir</w:t>
      </w:r>
      <w:r w:rsidDel="00000000" w:rsidR="00000000" w:rsidRPr="00000000">
        <w:rPr>
          <w:rtl w:val="0"/>
        </w:rPr>
        <w:t xml:space="preserve">: a educação como prática da liberdade. São Paulo: Martins Fontes, 2013, p. 49. </w:t>
      </w:r>
    </w:p>
    <w:p w:rsidR="00000000" w:rsidDel="00000000" w:rsidP="00000000" w:rsidRDefault="00000000" w:rsidRPr="00000000" w14:paraId="0000002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RUFINO, Luiz.</w:t>
      </w:r>
      <w:r w:rsidDel="00000000" w:rsidR="00000000" w:rsidRPr="00000000">
        <w:rPr>
          <w:i w:val="1"/>
          <w:iCs w:val="1"/>
          <w:rtl w:val="0"/>
        </w:rPr>
        <w:t xml:space="preserve"> Pedagogia das Encruzilhadas</w:t>
      </w:r>
      <w:r w:rsidDel="00000000" w:rsidR="00000000" w:rsidRPr="00000000">
        <w:rPr>
          <w:rtl w:val="0"/>
        </w:rPr>
        <w:t xml:space="preserve">. Rio de Janeiro: </w:t>
      </w:r>
      <w:r w:rsidDel="00000000" w:rsidR="00000000" w:rsidRPr="00000000">
        <w:rPr>
          <w:rtl w:val="0"/>
        </w:rPr>
        <w:t xml:space="preserve">Morula</w:t>
      </w:r>
      <w:r w:rsidDel="00000000" w:rsidR="00000000" w:rsidRPr="00000000">
        <w:rPr>
          <w:rtl w:val="0"/>
        </w:rPr>
        <w:t xml:space="preserve"> Editorial, 2019, P. 14. </w:t>
      </w:r>
    </w:p>
    <w:p w:rsidR="00000000" w:rsidDel="00000000" w:rsidP="00000000" w:rsidRDefault="00000000" w:rsidRPr="00000000" w14:paraId="0000002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SILVA, Tomas Tadeu da. </w:t>
      </w:r>
      <w:r w:rsidDel="00000000" w:rsidR="00000000" w:rsidRPr="00000000">
        <w:rPr>
          <w:rtl w:val="0"/>
        </w:rPr>
        <w:t xml:space="preserve">A produção social da identidade e da diferença.</w:t>
      </w:r>
      <w:r w:rsidDel="00000000" w:rsidR="00000000" w:rsidRPr="00000000">
        <w:rPr>
          <w:rtl w:val="0"/>
        </w:rPr>
        <w:t xml:space="preserve"> In. ______ (org.), Stuart Hall, Kathryn Woodwar.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Identidade e diferença: a perspectiva dos estudos culturais. </w:t>
      </w:r>
      <w:r w:rsidDel="00000000" w:rsidR="00000000" w:rsidRPr="00000000">
        <w:rPr>
          <w:rtl w:val="0"/>
        </w:rPr>
        <w:t xml:space="preserve">15 ed. Petrópolis, RJ: Vozes, 2014, p.73-102.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00" w:line="240" w:lineRule="auto"/>
        <w:jc w:val="both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b="0" l="0" r="0" t="0"/>
          <wp:wrapNone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5791200</wp:posOffset>
          </wp:positionH>
          <wp:positionV relativeFrom="paragraph">
            <wp:posOffset>-304798</wp:posOffset>
          </wp:positionV>
          <wp:extent cx="664882" cy="76200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235" l="0" r="0" t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C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jc w:val="left"/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-5713</wp:posOffset>
          </wp:positionV>
          <wp:extent cx="416339" cy="10716578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