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C377" w14:textId="3CD0AD5C" w:rsidR="00136D5E" w:rsidRDefault="00D606DE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D606DE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DUCAÇÃO ANTIRRACISTA NA EDFUCAÇÃO BÁSICA</w:t>
      </w:r>
      <w:r w:rsidRPr="00D606DE"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EDUCANDO PARA AS RELAÇÕES ÉTNICO-RACIAIS</w:t>
      </w:r>
    </w:p>
    <w:p w14:paraId="669A5F41" w14:textId="66187875" w:rsidR="00136D5E" w:rsidRDefault="00136D5E">
      <w:pPr>
        <w:keepLines/>
        <w:widowControl w:val="0"/>
        <w:spacing w:line="240" w:lineRule="auto"/>
        <w:jc w:val="center"/>
        <w:rPr>
          <w:sz w:val="24"/>
          <w:szCs w:val="24"/>
        </w:rPr>
      </w:pPr>
    </w:p>
    <w:p w14:paraId="4B453534" w14:textId="77777777" w:rsidR="00136D5E" w:rsidRDefault="00136D5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916D7A5" w14:textId="77777777" w:rsidR="00136D5E" w:rsidRDefault="00136D5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C5BA0EB" w14:textId="4EE65F6B" w:rsidR="00136D5E" w:rsidRPr="00D606DE" w:rsidRDefault="00000000" w:rsidP="00D606DE">
      <w:pPr>
        <w:keepLines/>
        <w:widowControl w:val="0"/>
        <w:spacing w:line="360" w:lineRule="auto"/>
        <w:jc w:val="center"/>
        <w:rPr>
          <w:b/>
          <w:bCs/>
          <w:sz w:val="24"/>
          <w:szCs w:val="24"/>
        </w:rPr>
      </w:pPr>
      <w:r w:rsidRPr="00D606DE">
        <w:rPr>
          <w:b/>
          <w:bCs/>
          <w:sz w:val="24"/>
          <w:szCs w:val="24"/>
        </w:rPr>
        <w:t xml:space="preserve"> </w:t>
      </w:r>
      <w:r w:rsidR="00D606DE" w:rsidRPr="00D606DE">
        <w:rPr>
          <w:b/>
          <w:bCs/>
          <w:sz w:val="24"/>
          <w:szCs w:val="24"/>
        </w:rPr>
        <w:t xml:space="preserve">Vozes da EJA: uma abordagem antirracista a partir da construção coletiva </w:t>
      </w:r>
      <w:r w:rsidR="00DF6BB3">
        <w:rPr>
          <w:b/>
          <w:bCs/>
          <w:sz w:val="24"/>
          <w:szCs w:val="24"/>
        </w:rPr>
        <w:t xml:space="preserve">e de </w:t>
      </w:r>
      <w:r w:rsidR="00D606DE" w:rsidRPr="00D606DE">
        <w:rPr>
          <w:b/>
          <w:bCs/>
          <w:sz w:val="24"/>
          <w:szCs w:val="24"/>
        </w:rPr>
        <w:t>ferramentas do audiovisual</w:t>
      </w:r>
    </w:p>
    <w:p w14:paraId="082FEA23" w14:textId="77777777" w:rsidR="00136D5E" w:rsidRDefault="00136D5E">
      <w:pPr>
        <w:keepLines/>
        <w:widowControl w:val="0"/>
        <w:spacing w:line="240" w:lineRule="auto"/>
        <w:rPr>
          <w:sz w:val="24"/>
          <w:szCs w:val="24"/>
        </w:rPr>
      </w:pPr>
    </w:p>
    <w:p w14:paraId="3135EFFF" w14:textId="77777777" w:rsidR="00136D5E" w:rsidRDefault="00136D5E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D44D4B6" w14:textId="414549FA" w:rsidR="00136D5E" w:rsidRDefault="00D606DE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Ana Jaimile da Cunha</w:t>
      </w:r>
      <w:r w:rsidR="00000000">
        <w:rPr>
          <w:sz w:val="24"/>
          <w:szCs w:val="24"/>
        </w:rPr>
        <w:t xml:space="preserve">, </w:t>
      </w:r>
      <w:r>
        <w:rPr>
          <w:sz w:val="24"/>
          <w:szCs w:val="24"/>
        </w:rPr>
        <w:t>IFPB</w:t>
      </w:r>
      <w:r w:rsidR="00000000">
        <w:rPr>
          <w:sz w:val="24"/>
          <w:szCs w:val="24"/>
        </w:rPr>
        <w:t xml:space="preserve">, </w:t>
      </w:r>
      <w:r>
        <w:rPr>
          <w:sz w:val="24"/>
          <w:szCs w:val="24"/>
        </w:rPr>
        <w:t>jaimile.cunha@ifpb.edu.br</w:t>
      </w:r>
    </w:p>
    <w:p w14:paraId="0DD8C980" w14:textId="77777777" w:rsidR="00136D5E" w:rsidRDefault="00136D5E">
      <w:pPr>
        <w:keepLines/>
        <w:widowControl w:val="0"/>
        <w:spacing w:line="240" w:lineRule="auto"/>
        <w:rPr>
          <w:sz w:val="24"/>
          <w:szCs w:val="24"/>
        </w:rPr>
      </w:pPr>
    </w:p>
    <w:p w14:paraId="50B6F895" w14:textId="77777777" w:rsidR="00136D5E" w:rsidRDefault="00136D5E">
      <w:pPr>
        <w:keepLines/>
        <w:widowControl w:val="0"/>
        <w:spacing w:line="240" w:lineRule="auto"/>
        <w:rPr>
          <w:sz w:val="24"/>
          <w:szCs w:val="24"/>
        </w:rPr>
      </w:pPr>
    </w:p>
    <w:p w14:paraId="166B581A" w14:textId="77777777" w:rsidR="00136D5E" w:rsidRDefault="00136D5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F1FAD78" w14:textId="77777777" w:rsidR="00136D5E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6D4EAE21" w14:textId="77777777" w:rsidR="00136D5E" w:rsidRDefault="00136D5E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106587CF" w14:textId="5F518ED8" w:rsidR="00D606DE" w:rsidRPr="00D606DE" w:rsidRDefault="00D606DE" w:rsidP="00D606DE">
      <w:pPr>
        <w:spacing w:line="360" w:lineRule="auto"/>
        <w:jc w:val="both"/>
        <w:rPr>
          <w:sz w:val="24"/>
          <w:szCs w:val="24"/>
        </w:rPr>
      </w:pPr>
      <w:r w:rsidRPr="00D606DE">
        <w:rPr>
          <w:sz w:val="24"/>
          <w:szCs w:val="24"/>
        </w:rPr>
        <w:t>O racismo estrutural pode ser identificado facilmente na vida dos alunos da Educação de Jovens e Adultos, que são vítimas da exclusão escolar étnico-</w:t>
      </w:r>
      <w:proofErr w:type="spellStart"/>
      <w:r w:rsidRPr="00D606DE">
        <w:rPr>
          <w:sz w:val="24"/>
          <w:szCs w:val="24"/>
        </w:rPr>
        <w:t>racializada</w:t>
      </w:r>
      <w:proofErr w:type="spellEnd"/>
      <w:r w:rsidRPr="00D606DE">
        <w:rPr>
          <w:sz w:val="24"/>
          <w:szCs w:val="24"/>
        </w:rPr>
        <w:t xml:space="preserve"> e que vivem na marginalidade em termos de condição de trabalho, salários, acesso ao sistema de saúde, moradia e representação política. </w:t>
      </w:r>
      <w:r>
        <w:rPr>
          <w:sz w:val="24"/>
          <w:szCs w:val="24"/>
        </w:rPr>
        <w:t xml:space="preserve">Pensar as questões </w:t>
      </w:r>
      <w:r w:rsidRPr="00D606DE">
        <w:rPr>
          <w:sz w:val="24"/>
          <w:szCs w:val="24"/>
        </w:rPr>
        <w:t>raci</w:t>
      </w:r>
      <w:r>
        <w:rPr>
          <w:sz w:val="24"/>
          <w:szCs w:val="24"/>
        </w:rPr>
        <w:t>ais</w:t>
      </w:r>
      <w:r w:rsidRPr="00D606DE">
        <w:rPr>
          <w:sz w:val="24"/>
          <w:szCs w:val="24"/>
        </w:rPr>
        <w:t xml:space="preserve"> exige </w:t>
      </w:r>
      <w:r>
        <w:rPr>
          <w:sz w:val="24"/>
          <w:szCs w:val="24"/>
        </w:rPr>
        <w:t xml:space="preserve">em </w:t>
      </w:r>
      <w:r w:rsidRPr="00D606DE">
        <w:rPr>
          <w:sz w:val="24"/>
          <w:szCs w:val="24"/>
        </w:rPr>
        <w:t>geral análise</w:t>
      </w:r>
      <w:r>
        <w:rPr>
          <w:sz w:val="24"/>
          <w:szCs w:val="24"/>
        </w:rPr>
        <w:t>s</w:t>
      </w:r>
      <w:r w:rsidRPr="00D606DE">
        <w:rPr>
          <w:sz w:val="24"/>
          <w:szCs w:val="24"/>
        </w:rPr>
        <w:t xml:space="preserve"> </w:t>
      </w:r>
      <w:r>
        <w:rPr>
          <w:sz w:val="24"/>
          <w:szCs w:val="24"/>
        </w:rPr>
        <w:t>que consider</w:t>
      </w:r>
      <w:r w:rsidRPr="00D606DE">
        <w:rPr>
          <w:sz w:val="24"/>
          <w:szCs w:val="24"/>
        </w:rPr>
        <w:t xml:space="preserve">em </w:t>
      </w:r>
      <w:r>
        <w:rPr>
          <w:sz w:val="24"/>
          <w:szCs w:val="24"/>
        </w:rPr>
        <w:t xml:space="preserve">múltiplas formas de encarar a super estrutura das quais estão envolvidos ao menos </w:t>
      </w:r>
      <w:r w:rsidRPr="00D606DE">
        <w:rPr>
          <w:sz w:val="24"/>
          <w:szCs w:val="24"/>
        </w:rPr>
        <w:t>dois níveis distintos</w:t>
      </w:r>
      <w:r>
        <w:rPr>
          <w:sz w:val="24"/>
          <w:szCs w:val="24"/>
        </w:rPr>
        <w:t xml:space="preserve"> de compreensão, sendo um deles posto como </w:t>
      </w:r>
      <w:proofErr w:type="spellStart"/>
      <w:r w:rsidRPr="00D606DE">
        <w:rPr>
          <w:sz w:val="24"/>
          <w:szCs w:val="24"/>
        </w:rPr>
        <w:t>racialismo</w:t>
      </w:r>
      <w:proofErr w:type="spellEnd"/>
      <w:r>
        <w:rPr>
          <w:sz w:val="24"/>
          <w:szCs w:val="24"/>
        </w:rPr>
        <w:t>,</w:t>
      </w:r>
      <w:r w:rsidRPr="00D606DE">
        <w:rPr>
          <w:sz w:val="24"/>
          <w:szCs w:val="24"/>
        </w:rPr>
        <w:t xml:space="preserve"> descrito como ideologia ou doutrina relativa a hierarquias de raças e como comportamento denotativo de desprezo ou ódio para com o outro diferente e considerado inferior (TODOROV, 2000; BAUMAN, 2000 apud SILVA, 2019), ou configurando-se como “racismo como teoria/cognição e comportamento (SILVA, 2019). No Curso Técnico em Eventos, a partir da disciplina </w:t>
      </w:r>
      <w:r w:rsidR="006F418D">
        <w:rPr>
          <w:sz w:val="24"/>
          <w:szCs w:val="24"/>
        </w:rPr>
        <w:t>‘</w:t>
      </w:r>
      <w:r w:rsidRPr="00D606DE">
        <w:rPr>
          <w:sz w:val="24"/>
          <w:szCs w:val="24"/>
        </w:rPr>
        <w:t>Práticas em Eventos</w:t>
      </w:r>
      <w:r w:rsidR="006F418D">
        <w:rPr>
          <w:sz w:val="24"/>
          <w:szCs w:val="24"/>
        </w:rPr>
        <w:t>’</w:t>
      </w:r>
      <w:r w:rsidRPr="00D606DE">
        <w:rPr>
          <w:sz w:val="24"/>
          <w:szCs w:val="24"/>
        </w:rPr>
        <w:t xml:space="preserve">, os temas </w:t>
      </w:r>
      <w:r w:rsidR="006F418D">
        <w:rPr>
          <w:sz w:val="24"/>
          <w:szCs w:val="24"/>
        </w:rPr>
        <w:t>“</w:t>
      </w:r>
      <w:r w:rsidRPr="00D606DE">
        <w:rPr>
          <w:sz w:val="24"/>
          <w:szCs w:val="24"/>
        </w:rPr>
        <w:t>racismo e diversidade sexual</w:t>
      </w:r>
      <w:r w:rsidR="006F418D">
        <w:rPr>
          <w:sz w:val="24"/>
          <w:szCs w:val="24"/>
        </w:rPr>
        <w:t>”</w:t>
      </w:r>
      <w:r w:rsidRPr="00D606DE">
        <w:rPr>
          <w:sz w:val="24"/>
          <w:szCs w:val="24"/>
        </w:rPr>
        <w:t xml:space="preserve"> foram abordados e discutidos entre alunos e alunas a fim de elaborar como evento final, um seminário que abordasse tais questões, se possível, de forma diferenciada, visto que é proposta pedagógica pensar meios e forma distintas de práticas em eventos. Conforme a pedagogia de Aprendizagem baseada em Projetos era conduzida, alunos e alunas voluntários apareceram rapidamente, aceitaram e se propuseram a fazer parte enquanto protagonistas de um filme documental, que compusesse um evento final, parte do Trabalho de Conclusão de Curso (TCC), obrigatório para a conclusão do curso. A proposta teve como influência, a presença do Núcleo de Estudos Afro-brasileiros e Indígenas do Campus João Pessoa na vida da docente que conduziu </w:t>
      </w:r>
      <w:r w:rsidRPr="00D606DE">
        <w:rPr>
          <w:sz w:val="24"/>
          <w:szCs w:val="24"/>
        </w:rPr>
        <w:lastRenderedPageBreak/>
        <w:t xml:space="preserve">esta disciplina que buscou neste sentido, desenvolver uma educação menos objetificada, mais dialógica, não-silenciadora, a partir de concepções epistêmicas raciais que auxiliassem todo o processo (MESQUITA, 2019), bem como suas interseccionalidades. E por este motivo, todo o processo requereu um olhar cuidadoso dentre os conteúdos abordados. Assim, a partir da disciplina “Práticas em Eventos”, os temas “racismo e diversidade sexual” foram abordados e discutidos entre alunos e alunas voluntários que se propuseram a fazer parte de um filme documental, e estes se fizeram assim parte da equipe de produção executiva, ou protagonistas essenciais para a composição da obra audiovisual. Isto posto, é fundamental situar este trabalho audiovisual posto como um instrumento metodológico que aponta caminhos de estilos cognitivos e modos singulares de compreensão e interpretação do mundo, sendo também um caminho de construção epistemológica (SAMAIN, 1998). Além da composição do documentário, durante este percurso, houve também a construção conjunta de uma pesquisa semiestruturada, com perguntas abertas e fechadas propostas e discutidas com e pelos alunos durante as aulas e que foram aplicadas junto aos demais alunos do curso, o que também ajudou a discutir o tema. O documentário por sua vez, aconteceu essencialmente através da adesão de alunos matriculados e egressos, que se colocaram como protagonistas e relataram suas histórias em frente à câmera de vídeo. Os temas e relatos abordados sobre situações de racismo e preconceitos vividos devido à diversidade sexual dos entrevistados foram cautelosamente discutidos anteriormente, contudo foram entendidos pelos alunos como matéria urgente diante da exclusão vivida por milhões de pessoas, incluindo essencialmente a realidade dos alunos e alunas da EJA, que vivem diariamente a negação de seus direitos e violências diversas, sendo necessária a luta e denúncia destas situações vividas, que tem parte de suas vivências construídos em ambiente escolar (SILVA e FELIPE, 2022). Este projeto permitiu o envolvimento dos discentes na relação ensino-aprendizagem, uma vez que houve o pensar e a denúncia do “não aceitar” a realidade do racismo estrutural imposto, bem como as suas várias interseccionalidades, como é o caso do preconceito em relação à homoafetividade, que não é diretamente tratado pela escola, mas que permeia todo o processo de exclusão escolar </w:t>
      </w:r>
      <w:proofErr w:type="spellStart"/>
      <w:r w:rsidRPr="00D606DE">
        <w:rPr>
          <w:sz w:val="24"/>
          <w:szCs w:val="24"/>
        </w:rPr>
        <w:t>racializada</w:t>
      </w:r>
      <w:proofErr w:type="spellEnd"/>
      <w:r w:rsidRPr="00D606DE">
        <w:rPr>
          <w:sz w:val="24"/>
          <w:szCs w:val="24"/>
        </w:rPr>
        <w:t xml:space="preserve"> (SILVA e FELIPE, 2022), “perpetuado por uma perversa estratégia que mantém a população negra e suas heranças culturais </w:t>
      </w:r>
      <w:r w:rsidRPr="00D606DE">
        <w:rPr>
          <w:sz w:val="24"/>
          <w:szCs w:val="24"/>
        </w:rPr>
        <w:lastRenderedPageBreak/>
        <w:t>aprisionadas a estereótipos, cerceando aos brasileiros, o acesso a informações que mostrem o protagonismo dessa população para além da força de trabalho na formação da sociedade nacional” (OLIVA et al, 2019, p.19). Desta forma, cumpriu-se não só com o objetivo de compartilhar relatos de vivências racistas e homofóbicas sofridas por alunos da EJA e gerar um documento audiovisual, mas também se colaborou com a construção de um conhecimento e consciência concisos sobre a urgente necessidade de requerer espaços de igualdade na sociedade, fortalecendo a luta antirracista, trazendo apoio e voz aos que muito têm a dizer, mas que por anos mantiveram-se calados.</w:t>
      </w:r>
    </w:p>
    <w:p w14:paraId="08E1FDDC" w14:textId="77777777" w:rsidR="00D606DE" w:rsidRDefault="00D606DE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7D1ED44" w14:textId="77777777" w:rsidR="00D606DE" w:rsidRDefault="00D606DE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8A6192F" w14:textId="77777777" w:rsidR="00136D5E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4175F773" w14:textId="7526FBBE" w:rsidR="00DF6BB3" w:rsidRPr="00DF6BB3" w:rsidRDefault="00DF6BB3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DF6BB3">
        <w:rPr>
          <w:sz w:val="24"/>
          <w:szCs w:val="24"/>
        </w:rPr>
        <w:t>Educação antirracista</w:t>
      </w:r>
      <w:r>
        <w:rPr>
          <w:sz w:val="24"/>
          <w:szCs w:val="24"/>
        </w:rPr>
        <w:t>;</w:t>
      </w:r>
      <w:r w:rsidRPr="00DF6BB3">
        <w:rPr>
          <w:sz w:val="24"/>
          <w:szCs w:val="24"/>
        </w:rPr>
        <w:t xml:space="preserve"> EJA</w:t>
      </w:r>
      <w:r>
        <w:rPr>
          <w:sz w:val="24"/>
          <w:szCs w:val="24"/>
        </w:rPr>
        <w:t>;</w:t>
      </w:r>
      <w:r w:rsidRPr="00DF6BB3">
        <w:rPr>
          <w:sz w:val="24"/>
          <w:szCs w:val="24"/>
        </w:rPr>
        <w:t xml:space="preserve"> Aprendizagem Baseada em Projetos</w:t>
      </w:r>
      <w:r>
        <w:rPr>
          <w:sz w:val="24"/>
          <w:szCs w:val="24"/>
        </w:rPr>
        <w:t>;</w:t>
      </w:r>
      <w:r w:rsidRPr="00DF6BB3">
        <w:rPr>
          <w:sz w:val="24"/>
          <w:szCs w:val="24"/>
        </w:rPr>
        <w:t xml:space="preserve"> </w:t>
      </w:r>
      <w:proofErr w:type="spellStart"/>
      <w:r w:rsidRPr="00DF6BB3">
        <w:rPr>
          <w:sz w:val="24"/>
          <w:szCs w:val="24"/>
        </w:rPr>
        <w:t>Audiovisualidade</w:t>
      </w:r>
      <w:proofErr w:type="spellEnd"/>
      <w:r w:rsidRPr="00DF6BB3">
        <w:rPr>
          <w:sz w:val="24"/>
          <w:szCs w:val="24"/>
        </w:rPr>
        <w:t>.</w:t>
      </w:r>
    </w:p>
    <w:p w14:paraId="152C2E2F" w14:textId="77777777" w:rsidR="00136D5E" w:rsidRDefault="00136D5E">
      <w:pPr>
        <w:keepLines/>
        <w:widowControl w:val="0"/>
        <w:spacing w:line="240" w:lineRule="auto"/>
        <w:rPr>
          <w:sz w:val="24"/>
          <w:szCs w:val="24"/>
        </w:rPr>
      </w:pPr>
    </w:p>
    <w:p w14:paraId="5AF48EA0" w14:textId="77777777" w:rsidR="00136D5E" w:rsidRDefault="00136D5E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31069E3" w14:textId="77777777" w:rsidR="00136D5E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57BB1A88" w14:textId="11C05159" w:rsidR="00136D5E" w:rsidRDefault="00136D5E">
      <w:pPr>
        <w:keepLines/>
        <w:widowControl w:val="0"/>
        <w:spacing w:line="240" w:lineRule="auto"/>
        <w:rPr>
          <w:sz w:val="24"/>
          <w:szCs w:val="24"/>
        </w:rPr>
      </w:pPr>
    </w:p>
    <w:p w14:paraId="4C8EC1F1" w14:textId="77777777" w:rsidR="00F6166B" w:rsidRDefault="00F6166B" w:rsidP="00F6166B">
      <w:pPr>
        <w:jc w:val="both"/>
        <w:rPr>
          <w:sz w:val="24"/>
          <w:szCs w:val="24"/>
        </w:rPr>
      </w:pPr>
      <w:r w:rsidRPr="00F6166B">
        <w:rPr>
          <w:sz w:val="24"/>
          <w:szCs w:val="24"/>
        </w:rPr>
        <w:t xml:space="preserve">MESQUITA, T. V. L. </w:t>
      </w:r>
      <w:r w:rsidRPr="00F6166B">
        <w:rPr>
          <w:b/>
          <w:bCs/>
          <w:sz w:val="24"/>
          <w:szCs w:val="24"/>
        </w:rPr>
        <w:t xml:space="preserve">Exclusão escolar </w:t>
      </w:r>
      <w:proofErr w:type="spellStart"/>
      <w:r w:rsidRPr="00F6166B">
        <w:rPr>
          <w:b/>
          <w:bCs/>
          <w:sz w:val="24"/>
          <w:szCs w:val="24"/>
        </w:rPr>
        <w:t>racializada</w:t>
      </w:r>
      <w:proofErr w:type="spellEnd"/>
      <w:r w:rsidRPr="00F6166B">
        <w:rPr>
          <w:sz w:val="24"/>
          <w:szCs w:val="24"/>
        </w:rPr>
        <w:t>: implicações do racismo na trajetória de educandos da EJA. 1. Ed. Jundiaí, SP: Paco Editorial, 2019.</w:t>
      </w:r>
    </w:p>
    <w:p w14:paraId="7D9EEFAA" w14:textId="77777777" w:rsidR="00F6166B" w:rsidRPr="00F6166B" w:rsidRDefault="00F6166B" w:rsidP="00F6166B">
      <w:pPr>
        <w:jc w:val="both"/>
        <w:rPr>
          <w:sz w:val="24"/>
          <w:szCs w:val="24"/>
        </w:rPr>
      </w:pPr>
    </w:p>
    <w:p w14:paraId="752804AA" w14:textId="77777777" w:rsidR="00F6166B" w:rsidRDefault="00F6166B" w:rsidP="00F6166B">
      <w:pPr>
        <w:jc w:val="both"/>
        <w:rPr>
          <w:sz w:val="24"/>
          <w:szCs w:val="24"/>
        </w:rPr>
      </w:pPr>
      <w:r w:rsidRPr="00F6166B">
        <w:rPr>
          <w:sz w:val="24"/>
          <w:szCs w:val="24"/>
        </w:rPr>
        <w:t xml:space="preserve">OLIVA, A. R.; CHAVES, M. N. C.; FILICE, R. C. G; NASCIMENTO, W. F. Tecendo </w:t>
      </w:r>
      <w:r w:rsidRPr="00F6166B">
        <w:rPr>
          <w:b/>
          <w:bCs/>
          <w:sz w:val="24"/>
          <w:szCs w:val="24"/>
        </w:rPr>
        <w:t>Redes Antirracistas</w:t>
      </w:r>
      <w:r w:rsidRPr="00F6166B">
        <w:rPr>
          <w:sz w:val="24"/>
          <w:szCs w:val="24"/>
        </w:rPr>
        <w:t xml:space="preserve">: Áfricas, Brasis, Portugal. </w:t>
      </w:r>
      <w:r w:rsidRPr="00F6166B">
        <w:rPr>
          <w:i/>
          <w:iCs/>
          <w:sz w:val="24"/>
          <w:szCs w:val="24"/>
        </w:rPr>
        <w:t>In:</w:t>
      </w:r>
      <w:r w:rsidRPr="00F6166B">
        <w:rPr>
          <w:sz w:val="24"/>
          <w:szCs w:val="24"/>
        </w:rPr>
        <w:t xml:space="preserve"> OLIVA, A. R.; CHAVES, M. N. C.; </w:t>
      </w:r>
    </w:p>
    <w:p w14:paraId="1BB316B7" w14:textId="555D3E33" w:rsidR="00F6166B" w:rsidRDefault="00F6166B" w:rsidP="00F6166B">
      <w:pPr>
        <w:jc w:val="both"/>
        <w:rPr>
          <w:sz w:val="24"/>
          <w:szCs w:val="24"/>
        </w:rPr>
      </w:pPr>
      <w:r w:rsidRPr="00F6166B">
        <w:rPr>
          <w:sz w:val="24"/>
          <w:szCs w:val="24"/>
        </w:rPr>
        <w:t>FILICE, R. C. G; NASCIMENTO, W. F. Tecendo redes antirracistas. 1ª edição. Belo Horizonte: Autêntica Editora, 2019 (p.13 -p.20).</w:t>
      </w:r>
    </w:p>
    <w:p w14:paraId="2EB50864" w14:textId="77777777" w:rsidR="00F6166B" w:rsidRPr="00F6166B" w:rsidRDefault="00F6166B" w:rsidP="00F6166B">
      <w:pPr>
        <w:jc w:val="both"/>
        <w:rPr>
          <w:sz w:val="24"/>
          <w:szCs w:val="24"/>
        </w:rPr>
      </w:pPr>
    </w:p>
    <w:p w14:paraId="407B2DFE" w14:textId="77777777" w:rsidR="00F6166B" w:rsidRPr="00F6166B" w:rsidRDefault="00F6166B" w:rsidP="00F6166B">
      <w:pPr>
        <w:jc w:val="both"/>
        <w:rPr>
          <w:sz w:val="24"/>
          <w:szCs w:val="24"/>
        </w:rPr>
      </w:pPr>
      <w:r w:rsidRPr="00F6166B">
        <w:rPr>
          <w:sz w:val="24"/>
          <w:szCs w:val="24"/>
        </w:rPr>
        <w:t xml:space="preserve">SAMAIN, Etienne (1995). </w:t>
      </w:r>
      <w:r w:rsidRPr="00F6166B">
        <w:rPr>
          <w:b/>
          <w:bCs/>
          <w:sz w:val="24"/>
          <w:szCs w:val="24"/>
        </w:rPr>
        <w:t>Ver e Dizer na Tradição Etnográfica</w:t>
      </w:r>
      <w:r w:rsidRPr="00F6166B">
        <w:rPr>
          <w:sz w:val="24"/>
          <w:szCs w:val="24"/>
        </w:rPr>
        <w:t xml:space="preserve">: </w:t>
      </w:r>
      <w:proofErr w:type="spellStart"/>
      <w:r w:rsidRPr="00F6166B">
        <w:rPr>
          <w:sz w:val="24"/>
          <w:szCs w:val="24"/>
        </w:rPr>
        <w:t>Bronislaw</w:t>
      </w:r>
      <w:proofErr w:type="spellEnd"/>
      <w:r w:rsidRPr="00F6166B">
        <w:rPr>
          <w:sz w:val="24"/>
          <w:szCs w:val="24"/>
        </w:rPr>
        <w:t xml:space="preserve"> Malinowski e a Fotografia. </w:t>
      </w:r>
      <w:r w:rsidRPr="00F6166B">
        <w:rPr>
          <w:i/>
          <w:iCs/>
          <w:sz w:val="24"/>
          <w:szCs w:val="24"/>
        </w:rPr>
        <w:t>Horizontes Antropológicos</w:t>
      </w:r>
      <w:r w:rsidRPr="00F6166B">
        <w:rPr>
          <w:sz w:val="24"/>
          <w:szCs w:val="24"/>
        </w:rPr>
        <w:t>, Porto Alegre, ano 1, n. 2, p. 23-60, jul./set. 1995.</w:t>
      </w:r>
    </w:p>
    <w:p w14:paraId="6191E2B2" w14:textId="77777777" w:rsidR="00F6166B" w:rsidRDefault="00F6166B" w:rsidP="00F6166B">
      <w:pPr>
        <w:jc w:val="both"/>
        <w:rPr>
          <w:sz w:val="24"/>
          <w:szCs w:val="24"/>
        </w:rPr>
      </w:pPr>
    </w:p>
    <w:p w14:paraId="46B564A7" w14:textId="77777777" w:rsidR="00F6166B" w:rsidRDefault="00F6166B" w:rsidP="00F6166B">
      <w:pPr>
        <w:jc w:val="both"/>
        <w:rPr>
          <w:sz w:val="24"/>
          <w:szCs w:val="24"/>
        </w:rPr>
      </w:pPr>
      <w:r w:rsidRPr="00F6166B">
        <w:rPr>
          <w:sz w:val="24"/>
          <w:szCs w:val="24"/>
        </w:rPr>
        <w:t xml:space="preserve">SILVA, Manuel Carlos. </w:t>
      </w:r>
      <w:r w:rsidRPr="00F6166B">
        <w:rPr>
          <w:b/>
          <w:bCs/>
          <w:sz w:val="24"/>
          <w:szCs w:val="24"/>
        </w:rPr>
        <w:t>Etnicidade, racismo e representações interétnicas</w:t>
      </w:r>
      <w:r w:rsidRPr="00F6166B">
        <w:rPr>
          <w:sz w:val="24"/>
          <w:szCs w:val="24"/>
        </w:rPr>
        <w:t xml:space="preserve">: imigrantes africanos vistos por portugueses no distrito de Braga, Portugal. In: </w:t>
      </w:r>
      <w:r w:rsidRPr="00F6166B">
        <w:rPr>
          <w:i/>
          <w:iCs/>
          <w:sz w:val="24"/>
          <w:szCs w:val="24"/>
        </w:rPr>
        <w:t>In:</w:t>
      </w:r>
      <w:r w:rsidRPr="00F6166B">
        <w:rPr>
          <w:sz w:val="24"/>
          <w:szCs w:val="24"/>
        </w:rPr>
        <w:t xml:space="preserve"> OLIVA, A. R.; CHAVES, M. N. C.; FILICE, R. C. G; NASCIMENTO, W. F. Tecendo redes antirracistas. 1ª edição. Belo Horizonte: Autêntica Editora, 2019 (p. 37-p.63).</w:t>
      </w:r>
    </w:p>
    <w:p w14:paraId="50A03600" w14:textId="34B2B423" w:rsidR="00F6166B" w:rsidRPr="00F6166B" w:rsidRDefault="00F6166B" w:rsidP="00F6166B">
      <w:pPr>
        <w:jc w:val="both"/>
        <w:rPr>
          <w:sz w:val="24"/>
          <w:szCs w:val="24"/>
        </w:rPr>
      </w:pPr>
      <w:r w:rsidRPr="00F6166B">
        <w:rPr>
          <w:sz w:val="24"/>
          <w:szCs w:val="24"/>
        </w:rPr>
        <w:t xml:space="preserve"> </w:t>
      </w:r>
    </w:p>
    <w:p w14:paraId="2D4477D7" w14:textId="77777777" w:rsidR="00F6166B" w:rsidRDefault="00F6166B" w:rsidP="00F6166B">
      <w:pPr>
        <w:jc w:val="both"/>
        <w:rPr>
          <w:sz w:val="24"/>
          <w:szCs w:val="24"/>
        </w:rPr>
      </w:pPr>
      <w:r w:rsidRPr="00F6166B">
        <w:rPr>
          <w:sz w:val="24"/>
          <w:szCs w:val="24"/>
        </w:rPr>
        <w:t xml:space="preserve">SILVA, J. C.C. </w:t>
      </w:r>
      <w:r w:rsidRPr="00F6166B">
        <w:rPr>
          <w:b/>
          <w:bCs/>
          <w:sz w:val="24"/>
          <w:szCs w:val="24"/>
        </w:rPr>
        <w:t>Diversidade sexual na EJA</w:t>
      </w:r>
      <w:r w:rsidRPr="00F6166B">
        <w:rPr>
          <w:sz w:val="24"/>
          <w:szCs w:val="24"/>
        </w:rPr>
        <w:t xml:space="preserve">: uma análise dos documentos que regem a modalidade. VII CONEDU, Campina Grande. Realize Editora. Disponível em: </w:t>
      </w:r>
      <w:proofErr w:type="gramStart"/>
      <w:r w:rsidRPr="00F6166B">
        <w:rPr>
          <w:sz w:val="24"/>
          <w:szCs w:val="24"/>
        </w:rPr>
        <w:t>https://editorarealize.com.br/artigo/visualizar/81136 .</w:t>
      </w:r>
      <w:proofErr w:type="gramEnd"/>
      <w:r w:rsidRPr="00F6166B">
        <w:rPr>
          <w:sz w:val="24"/>
          <w:szCs w:val="24"/>
        </w:rPr>
        <w:t xml:space="preserve"> Acesso: 02 de setembro de 2024.</w:t>
      </w:r>
    </w:p>
    <w:p w14:paraId="217C3B3F" w14:textId="77777777" w:rsidR="00F6166B" w:rsidRPr="00F6166B" w:rsidRDefault="00F6166B" w:rsidP="00F6166B">
      <w:pPr>
        <w:jc w:val="both"/>
        <w:rPr>
          <w:sz w:val="24"/>
          <w:szCs w:val="24"/>
        </w:rPr>
      </w:pPr>
    </w:p>
    <w:p w14:paraId="2E7B5593" w14:textId="36B644C7" w:rsidR="00F6166B" w:rsidRPr="00F6166B" w:rsidRDefault="00F6166B" w:rsidP="00F6166B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 w:rsidRPr="00F6166B">
        <w:rPr>
          <w:sz w:val="24"/>
          <w:szCs w:val="24"/>
        </w:rPr>
        <w:lastRenderedPageBreak/>
        <w:t xml:space="preserve">SILVA, </w:t>
      </w:r>
      <w:proofErr w:type="spellStart"/>
      <w:r w:rsidRPr="00F6166B">
        <w:rPr>
          <w:sz w:val="24"/>
          <w:szCs w:val="24"/>
        </w:rPr>
        <w:t>Jamiris</w:t>
      </w:r>
      <w:proofErr w:type="spellEnd"/>
      <w:r w:rsidRPr="00F6166B">
        <w:rPr>
          <w:sz w:val="24"/>
          <w:szCs w:val="24"/>
        </w:rPr>
        <w:t xml:space="preserve"> de Sousa. </w:t>
      </w:r>
      <w:r w:rsidRPr="00F6166B">
        <w:rPr>
          <w:b/>
          <w:bCs/>
          <w:sz w:val="24"/>
          <w:szCs w:val="24"/>
        </w:rPr>
        <w:t xml:space="preserve">Tese sobre Gênero, </w:t>
      </w:r>
      <w:proofErr w:type="spellStart"/>
      <w:r w:rsidRPr="00F6166B">
        <w:rPr>
          <w:b/>
          <w:bCs/>
          <w:sz w:val="24"/>
          <w:szCs w:val="24"/>
        </w:rPr>
        <w:t>Eja</w:t>
      </w:r>
      <w:proofErr w:type="spellEnd"/>
      <w:r w:rsidRPr="00F6166B">
        <w:rPr>
          <w:b/>
          <w:bCs/>
          <w:sz w:val="24"/>
          <w:szCs w:val="24"/>
        </w:rPr>
        <w:t>, Ensino de história e formação profissional</w:t>
      </w:r>
      <w:r w:rsidRPr="00F6166B">
        <w:rPr>
          <w:sz w:val="24"/>
          <w:szCs w:val="24"/>
        </w:rPr>
        <w:t xml:space="preserve">: um estudo de caso sobre as experiências das alunas do PROEJA-IFRJ-CNIL. / </w:t>
      </w:r>
      <w:proofErr w:type="spellStart"/>
      <w:r w:rsidRPr="00F6166B">
        <w:rPr>
          <w:sz w:val="24"/>
          <w:szCs w:val="24"/>
        </w:rPr>
        <w:t>Jamiris</w:t>
      </w:r>
      <w:proofErr w:type="spellEnd"/>
      <w:r w:rsidRPr="00F6166B">
        <w:rPr>
          <w:sz w:val="24"/>
          <w:szCs w:val="24"/>
        </w:rPr>
        <w:t xml:space="preserve"> de Sousa Silva. - 2024. Disponível em: </w:t>
      </w:r>
      <w:hyperlink r:id="rId6" w:history="1">
        <w:r w:rsidRPr="00F6166B">
          <w:rPr>
            <w:rStyle w:val="Hyperlink"/>
            <w:sz w:val="24"/>
            <w:szCs w:val="24"/>
          </w:rPr>
          <w:t>https://www.bdtd.uerj.br:8443/bitstream/1/22711/2/Disserta%c3%a7%c3%a3o%20-%20Jamiris%20de%20Sousa%20Silva%20-%202024%20-%20Completa.pdf</w:t>
        </w:r>
      </w:hyperlink>
    </w:p>
    <w:p w14:paraId="3FF5B0FE" w14:textId="77777777" w:rsidR="00136D5E" w:rsidRDefault="00136D5E"/>
    <w:p w14:paraId="4F93D517" w14:textId="77777777" w:rsidR="00136D5E" w:rsidRDefault="00136D5E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136D5E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9520E" w14:textId="77777777" w:rsidR="00492094" w:rsidRDefault="00492094">
      <w:pPr>
        <w:spacing w:line="240" w:lineRule="auto"/>
      </w:pPr>
      <w:r>
        <w:separator/>
      </w:r>
    </w:p>
  </w:endnote>
  <w:endnote w:type="continuationSeparator" w:id="0">
    <w:p w14:paraId="50B5975E" w14:textId="77777777" w:rsidR="00492094" w:rsidRDefault="004920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A063E2-3146-45F6-9407-421E206D2D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4CA6AA3-AEAE-410F-AE5C-8104D920EE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EB7C4" w14:textId="77777777" w:rsidR="00136D5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606D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9210" w14:textId="77777777" w:rsidR="00136D5E" w:rsidRDefault="00136D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9C56" w14:textId="77777777" w:rsidR="00492094" w:rsidRDefault="00492094">
      <w:pPr>
        <w:spacing w:line="240" w:lineRule="auto"/>
      </w:pPr>
      <w:r>
        <w:separator/>
      </w:r>
    </w:p>
  </w:footnote>
  <w:footnote w:type="continuationSeparator" w:id="0">
    <w:p w14:paraId="49E8F933" w14:textId="77777777" w:rsidR="00492094" w:rsidRDefault="004920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8562A" w14:textId="77777777" w:rsidR="00136D5E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44E5856" wp14:editId="3C9FB98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69C50AB" wp14:editId="45CFA2E9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4E73E1" w14:textId="77777777" w:rsidR="00136D5E" w:rsidRDefault="00136D5E">
    <w:pPr>
      <w:jc w:val="right"/>
    </w:pPr>
  </w:p>
  <w:p w14:paraId="60C06AC8" w14:textId="77777777" w:rsidR="00136D5E" w:rsidRDefault="00136D5E">
    <w:pPr>
      <w:jc w:val="right"/>
    </w:pPr>
  </w:p>
  <w:p w14:paraId="50CD7803" w14:textId="77777777" w:rsidR="00136D5E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9A9A8F9" wp14:editId="0CC43A9E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70828" w14:textId="77777777" w:rsidR="00136D5E" w:rsidRDefault="00136D5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D5E"/>
    <w:rsid w:val="00054BFA"/>
    <w:rsid w:val="00136D5E"/>
    <w:rsid w:val="001D03A5"/>
    <w:rsid w:val="00492094"/>
    <w:rsid w:val="006F418D"/>
    <w:rsid w:val="00D606DE"/>
    <w:rsid w:val="00DF6BB3"/>
    <w:rsid w:val="00E47889"/>
    <w:rsid w:val="00F6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E106A"/>
  <w15:docId w15:val="{431D862E-FC69-4C84-94E2-BB6520D7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F616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dtd.uerj.br:8443/bitstream/1/22711/2/Disserta%c3%a7%c3%a3o%20-%20Jamiris%20de%20Sousa%20Silva%20-%202024%20-%20Completa.pdf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1008</Words>
  <Characters>5931</Characters>
  <Application>Microsoft Office Word</Application>
  <DocSecurity>0</DocSecurity>
  <Lines>116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Jaimile Cunha</dc:creator>
  <cp:lastModifiedBy>Jaimile Cunha</cp:lastModifiedBy>
  <cp:revision>2</cp:revision>
  <dcterms:created xsi:type="dcterms:W3CDTF">2026-08-17T02:05:00Z</dcterms:created>
  <dcterms:modified xsi:type="dcterms:W3CDTF">2026-08-17T02:05:00Z</dcterms:modified>
</cp:coreProperties>
</file>