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2DA9D" w14:textId="77777777" w:rsidR="000F1EE5" w:rsidRDefault="00000000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sz w:val="24"/>
        </w:rPr>
        <w:t>CONVERSATÓRIO 15 - GÊNERO, RAÇA E SEXUALIDADE NA EDUCAÇÃO: INTERSECCIONALIDADES, TERRITÓRIOS DE (RE)EXISTÊNCIA E PEDAGOGIAS DESOBEDIENTES</w:t>
      </w:r>
    </w:p>
    <w:p w14:paraId="2D298B88" w14:textId="77777777" w:rsidR="000F1EE5" w:rsidRDefault="00000000">
      <w:pPr>
        <w:keepLines/>
        <w:widowControl w:val="0"/>
        <w:spacing w:line="360" w:lineRule="auto"/>
        <w:jc w:val="center"/>
        <w:rPr>
          <w:sz w:val="24"/>
          <w:szCs w:val="24"/>
        </w:rPr>
      </w:pPr>
      <w:r>
        <w:rPr>
          <w:b/>
          <w:sz w:val="24"/>
        </w:rPr>
        <w:t>Universidade em movimento: uma disciplina decolonial, intercultural e antirracista entre a sala de aula e os territórios de (</w:t>
      </w:r>
      <w:proofErr w:type="spellStart"/>
      <w:r>
        <w:rPr>
          <w:b/>
          <w:sz w:val="24"/>
        </w:rPr>
        <w:t>re</w:t>
      </w:r>
      <w:proofErr w:type="spellEnd"/>
      <w:r>
        <w:rPr>
          <w:b/>
          <w:sz w:val="24"/>
        </w:rPr>
        <w:t>)existência</w:t>
      </w:r>
    </w:p>
    <w:p w14:paraId="2DDAB9B9" w14:textId="69916030" w:rsidR="000F1EE5" w:rsidRDefault="00000000" w:rsidP="001D6D8A">
      <w:pPr>
        <w:keepLines/>
        <w:widowControl w:val="0"/>
        <w:spacing w:line="360" w:lineRule="auto"/>
        <w:ind w:left="3402"/>
        <w:rPr>
          <w:b/>
          <w:bCs/>
          <w:sz w:val="24"/>
          <w:szCs w:val="24"/>
        </w:rPr>
      </w:pPr>
      <w:r>
        <w:rPr>
          <w:sz w:val="24"/>
        </w:rPr>
        <w:t>Cláudia Mara Pedrosa, Universidade de Brasília (UnB), Faculdade de Ciências da Saúde, Departamento de Saúde Coletiva</w:t>
      </w:r>
      <w:r w:rsidR="001D6D8A">
        <w:rPr>
          <w:sz w:val="24"/>
        </w:rPr>
        <w:t>, pedrosaclaudia@gmail.com</w:t>
      </w:r>
    </w:p>
    <w:p w14:paraId="3B13B577" w14:textId="77777777" w:rsidR="000F1EE5" w:rsidRDefault="000F1EE5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5FD2B8A5" w14:textId="77777777" w:rsidR="000F1EE5" w:rsidRDefault="00000000">
      <w:pPr>
        <w:spacing w:line="360" w:lineRule="auto"/>
        <w:jc w:val="both"/>
      </w:pPr>
      <w:r>
        <w:rPr>
          <w:sz w:val="24"/>
        </w:rPr>
        <w:t>A universidade brasileira foi historicamente constituída por processos de seleção e hierarquização de conhecimentos, sujeitos e modos de vida, produzindo fronteiras entre saber científico e saberes dos territórios. Em contraposição, propõe-se uma disciplina de caráter decolonial, intercultural e antirracista, orientada pela compreensão de que ensinar e aprender implicam reconhecer relações de poder, desigualdades raciais, de gênero e sexualidade e a pluralidade de epistemologias. A extensão universitária é tomada como espaço de encontro e deslocamento da universidade para os territórios, não como aplicação de conhecimentos prontos, mas como produção compartilhada de saberes, práticas e perguntas.</w:t>
      </w:r>
    </w:p>
    <w:p w14:paraId="32027B11" w14:textId="77777777" w:rsidR="000F1EE5" w:rsidRDefault="00000000">
      <w:pPr>
        <w:spacing w:line="360" w:lineRule="auto"/>
        <w:jc w:val="both"/>
      </w:pPr>
      <w:r>
        <w:rPr>
          <w:sz w:val="24"/>
        </w:rPr>
        <w:t xml:space="preserve">A disciplina toma como eixo a articulação entre gênero, raça, sexualidade, território e educação, compreendendo a interseccionalidade como ferramenta para analisar como diferentes marcadores sociais se articulam na produção de desigualdades e também de estratégias de resistência. O ponto de partida é a crítica à </w:t>
      </w:r>
      <w:proofErr w:type="spellStart"/>
      <w:r>
        <w:rPr>
          <w:sz w:val="24"/>
        </w:rPr>
        <w:t>colonialidade</w:t>
      </w:r>
      <w:proofErr w:type="spellEnd"/>
      <w:r>
        <w:rPr>
          <w:sz w:val="24"/>
        </w:rPr>
        <w:t xml:space="preserve"> do poder, do saber e do ser (QUIJANO, 2005), entendendo que os efeitos do colonialismo permanecem nas instituições, nos currículos, nas formas de produzir conhecimento e nas relações sociais. Nesse sentido, a perspectiva decolonial não é incorporada apenas como conteúdo teórico, mas como princípio de organização pedagógica: questiona-se quem fala, quem é autorizado a produzir conhecimento, quais experiências são tomadas como universais e quais sujeitos são historicamente silenciados.</w:t>
      </w:r>
    </w:p>
    <w:p w14:paraId="24380EF3" w14:textId="77777777" w:rsidR="000F1EE5" w:rsidRDefault="00000000">
      <w:pPr>
        <w:spacing w:line="360" w:lineRule="auto"/>
        <w:jc w:val="both"/>
      </w:pPr>
      <w:r>
        <w:rPr>
          <w:sz w:val="24"/>
        </w:rPr>
        <w:t xml:space="preserve">A proposta dialoga especialmente com autoras do pensamento feminista negro, decolonial e interseccional. Lélia Gonzalez (2020) contribui para compreender as articulações entre racismo, sexismo e formação social brasileira; bell </w:t>
      </w:r>
      <w:proofErr w:type="spellStart"/>
      <w:r>
        <w:rPr>
          <w:sz w:val="24"/>
        </w:rPr>
        <w:t>hooks</w:t>
      </w:r>
      <w:proofErr w:type="spellEnd"/>
      <w:r>
        <w:rPr>
          <w:sz w:val="24"/>
        </w:rPr>
        <w:t xml:space="preserve"> (2017) permite pensar a educação como prática de liberdade e transformação das relações pedagógicas; </w:t>
      </w:r>
      <w:proofErr w:type="spellStart"/>
      <w:r>
        <w:rPr>
          <w:sz w:val="24"/>
        </w:rPr>
        <w:t>Patricia</w:t>
      </w:r>
      <w:proofErr w:type="spellEnd"/>
      <w:r>
        <w:rPr>
          <w:sz w:val="24"/>
        </w:rPr>
        <w:t xml:space="preserve"> Hill Collins (2019) oferece elementos para compreender conhecimento situado, opressão e resistência; </w:t>
      </w:r>
      <w:r>
        <w:rPr>
          <w:sz w:val="24"/>
        </w:rPr>
        <w:lastRenderedPageBreak/>
        <w:t xml:space="preserve">e </w:t>
      </w:r>
      <w:proofErr w:type="spellStart"/>
      <w:r>
        <w:rPr>
          <w:sz w:val="24"/>
        </w:rPr>
        <w:t>María</w:t>
      </w:r>
      <w:proofErr w:type="spellEnd"/>
      <w:r>
        <w:rPr>
          <w:sz w:val="24"/>
        </w:rPr>
        <w:t xml:space="preserve"> Lugones (2014) amplia a crítica decolonial ao evidenciar a </w:t>
      </w:r>
      <w:proofErr w:type="spellStart"/>
      <w:r>
        <w:rPr>
          <w:sz w:val="24"/>
        </w:rPr>
        <w:t>colonialidade</w:t>
      </w:r>
      <w:proofErr w:type="spellEnd"/>
      <w:r>
        <w:rPr>
          <w:sz w:val="24"/>
        </w:rPr>
        <w:t xml:space="preserve"> de gênero. Catherine Walsh (2013) contribui para pensar a interculturalidade crítica como projeto político, epistêmico e pedagógico.</w:t>
      </w:r>
    </w:p>
    <w:p w14:paraId="15A2369A" w14:textId="77777777" w:rsidR="000F1EE5" w:rsidRDefault="00000000">
      <w:pPr>
        <w:spacing w:line="360" w:lineRule="auto"/>
        <w:jc w:val="both"/>
      </w:pPr>
      <w:r>
        <w:rPr>
          <w:sz w:val="24"/>
        </w:rPr>
        <w:t>A disciplina também se ancora em Paulo Freire (1996), na defesa do diálogo e dos saberes dos educandos; em Boaventura de Sousa Santos (2007), na crítica à monocultura do saber e defesa da ecologia de saberes; e em Ailton Krenak (2019), cuja produção questiona a separação entre humanidade, natureza, território e vida. Essas referências são colocadas em diálogo, favorecendo uma leitura plural e situada dos problemas educacionais e sociais.</w:t>
      </w:r>
    </w:p>
    <w:p w14:paraId="0B157FE0" w14:textId="77777777" w:rsidR="000F1EE5" w:rsidRDefault="00000000">
      <w:pPr>
        <w:spacing w:line="360" w:lineRule="auto"/>
        <w:jc w:val="both"/>
      </w:pPr>
      <w:r>
        <w:rPr>
          <w:sz w:val="24"/>
        </w:rPr>
        <w:t>A metodologia da disciplina será organizada em três movimentos articulados: preparação, imersão e restituição. Na etapa de preparação, estudantes realizam leituras compartilhadas, rodas de conversa, cartografias afetivas e exercícios de problematização sobre seus próprios lugares de fala, trajetórias e relações com raça, gênero, sexualidade e território. O objetivo não é transformar a experiência individual em centro do processo, mas utilizá-la como ponto de partida para reconhecer privilégios, silenciamentos e posições implicadas na produção do conhecimento. A leitura será acompanhada de narrativas, imagens, produções artísticas, relatos comunitários e outras linguagens capazes de ampliar as formas de expressão e compreensão.</w:t>
      </w:r>
    </w:p>
    <w:p w14:paraId="52D76441" w14:textId="77777777" w:rsidR="000F1EE5" w:rsidRDefault="00000000">
      <w:pPr>
        <w:spacing w:line="360" w:lineRule="auto"/>
        <w:jc w:val="both"/>
      </w:pPr>
      <w:r>
        <w:rPr>
          <w:sz w:val="24"/>
        </w:rPr>
        <w:t>O segundo movimento corresponde à imersão em territórios historicamente marginalizados pelas políticas públicas e pela própria universidade, incluindo comunidades tradicionais, territórios quilombolas e periferias urbanas. A noção de vulnerabilidade será problematizada para evitar que pessoas e comunidades sejam caracterizadas como frágeis ou carentes. O foco será compreender processos que produzem desigualdades, reconhecendo redes de solidariedade, saberes, práticas de cuidado, tecnologias sociais e formas de (</w:t>
      </w:r>
      <w:proofErr w:type="spellStart"/>
      <w:r>
        <w:rPr>
          <w:sz w:val="24"/>
        </w:rPr>
        <w:t>re</w:t>
      </w:r>
      <w:proofErr w:type="spellEnd"/>
      <w:r>
        <w:rPr>
          <w:sz w:val="24"/>
        </w:rPr>
        <w:t>)existência.</w:t>
      </w:r>
    </w:p>
    <w:p w14:paraId="2C2DEE14" w14:textId="77777777" w:rsidR="000F1EE5" w:rsidRDefault="00000000">
      <w:pPr>
        <w:spacing w:line="360" w:lineRule="auto"/>
        <w:jc w:val="both"/>
      </w:pPr>
      <w:r>
        <w:rPr>
          <w:sz w:val="24"/>
        </w:rPr>
        <w:t>A imersão será realizada por rodas de conversa, caminhadas, oficinas, observação participante, cartografia e encontros com lideranças, educadoras, profissionais, artistas e mestres e mestras dos saberes tradicionais. A universidade será convocada a ocupar posição de escuta, deslocando a ideia de que o conhecimento circula em uma única direção. O território passa a ser espaço pedagógico e epistêmico, no qual se produzem conhecimentos sobre saúde, educação, cuidado, ambiente, memória, ancestralidade, corpo e bem viver. A cartografia acompanhará encontros, afetos, conflitos, deslocamentos e aprendizagens.</w:t>
      </w:r>
    </w:p>
    <w:p w14:paraId="79132E48" w14:textId="77777777" w:rsidR="000F1EE5" w:rsidRDefault="00000000">
      <w:pPr>
        <w:spacing w:line="360" w:lineRule="auto"/>
        <w:jc w:val="both"/>
      </w:pPr>
      <w:r>
        <w:rPr>
          <w:sz w:val="24"/>
        </w:rPr>
        <w:t xml:space="preserve">O terceiro movimento consiste na restituição e produção coletiva. Após a imersão, estudantes e sujeitos dos territórios serão convidados a construir produtos compartilhados, </w:t>
      </w:r>
      <w:r>
        <w:rPr>
          <w:sz w:val="24"/>
        </w:rPr>
        <w:lastRenderedPageBreak/>
        <w:t>definidos a partir das necessidades identificadas. Podem ser produzidas narrativas multimodais, podcasts, exposições, mapas, materiais educativos, registros audiovisuais ou rodas públicas. A avaliação considerará diário de campo, participação, capacidade de relacionar teoria e experiência e construção de produtos comprometidos com o território. A restituição será responsabilidade ética e política, não simples entrega acadêmica.</w:t>
      </w:r>
    </w:p>
    <w:p w14:paraId="6FE3891F" w14:textId="77777777" w:rsidR="000F1EE5" w:rsidRDefault="00000000">
      <w:pPr>
        <w:spacing w:line="360" w:lineRule="auto"/>
        <w:jc w:val="both"/>
      </w:pPr>
      <w:r>
        <w:rPr>
          <w:sz w:val="24"/>
        </w:rPr>
        <w:t>A disciplina pretende deslocar a extensão universitária de uma perspectiva assistencialista ou de transferência de conhecimentos para uma experiência de encontro, coprodução e transformação recíproca. O contato com os territórios será componente constitutivo do processo pedagógico. A imersão possibilita interrogar currículos, práticas profissionais e modos de produzir ciência, permitindo reconhecer conhecimentos produzidos fora da academia e compreender como raça, gênero, sexualidade, classe, território e geração atravessam as experiências educativas.</w:t>
      </w:r>
    </w:p>
    <w:p w14:paraId="07106BF7" w14:textId="77777777" w:rsidR="000F1EE5" w:rsidRDefault="00000000">
      <w:pPr>
        <w:spacing w:line="360" w:lineRule="auto"/>
        <w:jc w:val="both"/>
      </w:pPr>
      <w:r>
        <w:rPr>
          <w:sz w:val="24"/>
        </w:rPr>
        <w:t>Espera-se que a experiência contribua para a formação de estudantes capazes de reconhecer desigualdades e enfrentar práticas racistas, sexistas, LGBTfóbicas e coloniais nos espaços educativos e sociais. Mais do que oferecer respostas prontas, a disciplina pretende formar uma disposição ética para perguntar com os territórios, aprender com diferentes sujeitos e construir práticas pedagógicas desobedientes às hierarquias epistêmicas. A proposta compreende, assim, a universidade como instituição que também precisa aprender, desaprender e se transformar. Ao aproximar pensamento decolonial, educação intercultural, feminismos, antirracismo e experiências territoriais, a disciplina busca produzir uma pedagogia do encontro, na qual diferentes conhecimentos possam coexistir, tensionar-se e criar possibilidades de (</w:t>
      </w:r>
      <w:proofErr w:type="spellStart"/>
      <w:r>
        <w:rPr>
          <w:sz w:val="24"/>
        </w:rPr>
        <w:t>re</w:t>
      </w:r>
      <w:proofErr w:type="spellEnd"/>
      <w:r>
        <w:rPr>
          <w:sz w:val="24"/>
        </w:rPr>
        <w:t>)existência e justiça social, racial, de gênero e ambiental.</w:t>
      </w:r>
    </w:p>
    <w:p w14:paraId="1C0AA665" w14:textId="77777777" w:rsidR="000F1EE5" w:rsidRDefault="00000000">
      <w:pPr>
        <w:spacing w:line="360" w:lineRule="auto"/>
        <w:jc w:val="both"/>
      </w:pPr>
      <w:r>
        <w:rPr>
          <w:b/>
          <w:sz w:val="24"/>
        </w:rPr>
        <w:t>PALAVRAS-CHAVE</w:t>
      </w:r>
    </w:p>
    <w:p w14:paraId="5F9E24FD" w14:textId="77777777" w:rsidR="000F1EE5" w:rsidRDefault="00000000">
      <w:pPr>
        <w:spacing w:line="240" w:lineRule="auto"/>
        <w:jc w:val="both"/>
      </w:pPr>
      <w:r>
        <w:t>Decolonialidade; educação intercultural; antirracismo; interseccionalidade; territórios de (</w:t>
      </w:r>
      <w:proofErr w:type="spellStart"/>
      <w:r>
        <w:t>re</w:t>
      </w:r>
      <w:proofErr w:type="spellEnd"/>
      <w:r>
        <w:t>)existência; pedagogias desobedientes.</w:t>
      </w:r>
    </w:p>
    <w:p w14:paraId="102B0F41" w14:textId="77777777" w:rsidR="001D6D8A" w:rsidRDefault="001D6D8A">
      <w:pPr>
        <w:spacing w:line="240" w:lineRule="auto"/>
        <w:jc w:val="both"/>
      </w:pPr>
    </w:p>
    <w:p w14:paraId="50FDF5DF" w14:textId="77777777" w:rsidR="000F1EE5" w:rsidRDefault="00000000">
      <w:pPr>
        <w:spacing w:line="360" w:lineRule="auto"/>
        <w:jc w:val="both"/>
      </w:pPr>
      <w:r>
        <w:rPr>
          <w:b/>
          <w:sz w:val="24"/>
        </w:rPr>
        <w:t>REFERÊNCIAS</w:t>
      </w:r>
    </w:p>
    <w:p w14:paraId="39CE3E6F" w14:textId="77777777" w:rsidR="000F1EE5" w:rsidRDefault="00000000">
      <w:pPr>
        <w:spacing w:line="360" w:lineRule="auto"/>
        <w:jc w:val="both"/>
      </w:pPr>
      <w:r>
        <w:rPr>
          <w:sz w:val="24"/>
        </w:rPr>
        <w:t xml:space="preserve">COLLINS, </w:t>
      </w:r>
      <w:proofErr w:type="spellStart"/>
      <w:r>
        <w:rPr>
          <w:sz w:val="24"/>
        </w:rPr>
        <w:t>Patricia</w:t>
      </w:r>
      <w:proofErr w:type="spellEnd"/>
      <w:r>
        <w:rPr>
          <w:sz w:val="24"/>
        </w:rPr>
        <w:t xml:space="preserve"> Hill. Pensamento feminista negro: conhecimento, consciência e a política do empoderamento. São Paulo: Boitempo, 2019.</w:t>
      </w:r>
    </w:p>
    <w:p w14:paraId="383DFAAC" w14:textId="77777777" w:rsidR="000F1EE5" w:rsidRDefault="00000000">
      <w:pPr>
        <w:spacing w:line="360" w:lineRule="auto"/>
        <w:jc w:val="both"/>
      </w:pPr>
      <w:r>
        <w:rPr>
          <w:sz w:val="24"/>
        </w:rPr>
        <w:t>FREIRE, Paulo. Pedagogia da autonomia: saberes necessários à prática educativa. São Paulo: Paz e Terra, 1996.</w:t>
      </w:r>
    </w:p>
    <w:p w14:paraId="3CC663DD" w14:textId="77777777" w:rsidR="000F1EE5" w:rsidRDefault="00000000">
      <w:pPr>
        <w:spacing w:line="360" w:lineRule="auto"/>
        <w:jc w:val="both"/>
      </w:pPr>
      <w:r>
        <w:rPr>
          <w:sz w:val="24"/>
        </w:rPr>
        <w:t>GONZALEZ, Lélia. Por um feminismo afro-latino-americano: ensaios, intervenções e diálogos. Rio de Janeiro: Zahar, 2020.</w:t>
      </w:r>
    </w:p>
    <w:p w14:paraId="21F1E4C9" w14:textId="77777777" w:rsidR="000F1EE5" w:rsidRDefault="00000000">
      <w:pPr>
        <w:spacing w:line="360" w:lineRule="auto"/>
        <w:jc w:val="both"/>
      </w:pPr>
      <w:r>
        <w:rPr>
          <w:sz w:val="24"/>
        </w:rPr>
        <w:lastRenderedPageBreak/>
        <w:t>HOOKS, bell. Ensinando a transgredir: a educação como prática da liberdade. 2. ed. São Paulo: WMF Martins Fontes, 2017.</w:t>
      </w:r>
    </w:p>
    <w:p w14:paraId="57E2C225" w14:textId="77777777" w:rsidR="000F1EE5" w:rsidRDefault="00000000">
      <w:pPr>
        <w:spacing w:line="360" w:lineRule="auto"/>
        <w:jc w:val="both"/>
      </w:pPr>
      <w:r>
        <w:rPr>
          <w:sz w:val="24"/>
        </w:rPr>
        <w:t>KRENAK, Ailton. Ideias para adiar o fim do mundo. São Paulo: Companhia das Letras, 2019.</w:t>
      </w:r>
    </w:p>
    <w:p w14:paraId="313ED817" w14:textId="77777777" w:rsidR="000F1EE5" w:rsidRDefault="00000000">
      <w:pPr>
        <w:spacing w:line="360" w:lineRule="auto"/>
        <w:jc w:val="both"/>
      </w:pPr>
      <w:r>
        <w:rPr>
          <w:sz w:val="24"/>
        </w:rPr>
        <w:t xml:space="preserve">LUGONES, </w:t>
      </w:r>
      <w:proofErr w:type="spellStart"/>
      <w:r>
        <w:rPr>
          <w:sz w:val="24"/>
        </w:rPr>
        <w:t>María</w:t>
      </w:r>
      <w:proofErr w:type="spellEnd"/>
      <w:r>
        <w:rPr>
          <w:sz w:val="24"/>
        </w:rPr>
        <w:t xml:space="preserve">. Rumo a um feminismo </w:t>
      </w:r>
      <w:proofErr w:type="spellStart"/>
      <w:r>
        <w:rPr>
          <w:sz w:val="24"/>
        </w:rPr>
        <w:t>descolonial</w:t>
      </w:r>
      <w:proofErr w:type="spellEnd"/>
      <w:r>
        <w:rPr>
          <w:sz w:val="24"/>
        </w:rPr>
        <w:t>. Revista Estudos Feministas, Florianópolis, v. 22, n. 3, p. 935-952, 2014.</w:t>
      </w:r>
    </w:p>
    <w:p w14:paraId="52F4AB3E" w14:textId="77777777" w:rsidR="000F1EE5" w:rsidRDefault="00000000">
      <w:pPr>
        <w:spacing w:line="360" w:lineRule="auto"/>
        <w:jc w:val="both"/>
      </w:pPr>
      <w:r>
        <w:rPr>
          <w:sz w:val="24"/>
        </w:rPr>
        <w:t xml:space="preserve">QUIJANO, Aníbal. </w:t>
      </w:r>
      <w:proofErr w:type="spellStart"/>
      <w:r>
        <w:rPr>
          <w:sz w:val="24"/>
        </w:rPr>
        <w:t>Colonialidade</w:t>
      </w:r>
      <w:proofErr w:type="spellEnd"/>
      <w:r>
        <w:rPr>
          <w:sz w:val="24"/>
        </w:rPr>
        <w:t xml:space="preserve"> do poder, eurocentrismo e América Latina. In: LANDER, Edgardo (org.). A </w:t>
      </w:r>
      <w:proofErr w:type="spellStart"/>
      <w:r>
        <w:rPr>
          <w:sz w:val="24"/>
        </w:rPr>
        <w:t>colonialidade</w:t>
      </w:r>
      <w:proofErr w:type="spellEnd"/>
      <w:r>
        <w:rPr>
          <w:sz w:val="24"/>
        </w:rPr>
        <w:t xml:space="preserve"> do saber: eurocentrismo e ciências sociais. Buenos Aires: CLACSO, 2005.</w:t>
      </w:r>
    </w:p>
    <w:p w14:paraId="0F5A4EE8" w14:textId="77777777" w:rsidR="000F1EE5" w:rsidRDefault="00000000">
      <w:pPr>
        <w:spacing w:line="360" w:lineRule="auto"/>
        <w:jc w:val="both"/>
      </w:pPr>
      <w:r>
        <w:rPr>
          <w:sz w:val="24"/>
        </w:rPr>
        <w:t>SANTOS, Boaventura de Sousa. Para além do pensamento abissal: das linhas globais a uma ecologia de saberes. Novos Estudos CEBRAP, São Paulo, n. 79, p. 71-94, 2007.</w:t>
      </w:r>
    </w:p>
    <w:p w14:paraId="1691C48B" w14:textId="77777777" w:rsidR="000F1EE5" w:rsidRDefault="00000000">
      <w:pPr>
        <w:spacing w:line="360" w:lineRule="auto"/>
        <w:jc w:val="both"/>
      </w:pPr>
      <w:r>
        <w:rPr>
          <w:sz w:val="24"/>
        </w:rPr>
        <w:t xml:space="preserve">WALSH, Catherine. </w:t>
      </w:r>
      <w:proofErr w:type="spellStart"/>
      <w:r>
        <w:rPr>
          <w:sz w:val="24"/>
        </w:rPr>
        <w:t>Pedagogías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decoloniales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prácticas</w:t>
      </w:r>
      <w:proofErr w:type="spellEnd"/>
      <w:r>
        <w:rPr>
          <w:sz w:val="24"/>
        </w:rPr>
        <w:t xml:space="preserve"> insurgentes de resistir, (</w:t>
      </w:r>
      <w:proofErr w:type="spellStart"/>
      <w:r>
        <w:rPr>
          <w:sz w:val="24"/>
        </w:rPr>
        <w:t>re</w:t>
      </w:r>
      <w:proofErr w:type="spellEnd"/>
      <w:r>
        <w:rPr>
          <w:sz w:val="24"/>
        </w:rPr>
        <w:t>)existir y (</w:t>
      </w:r>
      <w:proofErr w:type="spellStart"/>
      <w:r>
        <w:rPr>
          <w:sz w:val="24"/>
        </w:rPr>
        <w:t>re</w:t>
      </w:r>
      <w:proofErr w:type="spellEnd"/>
      <w:r>
        <w:rPr>
          <w:sz w:val="24"/>
        </w:rPr>
        <w:t>)</w:t>
      </w:r>
      <w:proofErr w:type="spellStart"/>
      <w:r>
        <w:rPr>
          <w:sz w:val="24"/>
        </w:rPr>
        <w:t>vivir</w:t>
      </w:r>
      <w:proofErr w:type="spellEnd"/>
      <w:r>
        <w:rPr>
          <w:sz w:val="24"/>
        </w:rPr>
        <w:t xml:space="preserve">. Quito: </w:t>
      </w:r>
      <w:proofErr w:type="spellStart"/>
      <w:r>
        <w:rPr>
          <w:sz w:val="24"/>
        </w:rPr>
        <w:t>Abya</w:t>
      </w:r>
      <w:proofErr w:type="spellEnd"/>
      <w:r>
        <w:rPr>
          <w:sz w:val="24"/>
        </w:rPr>
        <w:t>-Yala, 2013.</w:t>
      </w:r>
    </w:p>
    <w:sectPr w:rsidR="000F1EE5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F0A6B" w14:textId="77777777" w:rsidR="008E58C6" w:rsidRDefault="008E58C6">
      <w:pPr>
        <w:spacing w:line="240" w:lineRule="auto"/>
      </w:pPr>
      <w:r>
        <w:separator/>
      </w:r>
    </w:p>
  </w:endnote>
  <w:endnote w:type="continuationSeparator" w:id="0">
    <w:p w14:paraId="5C28CB87" w14:textId="77777777" w:rsidR="008E58C6" w:rsidRDefault="008E58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1E147D-329C-4786-83E6-75C8C5475D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145948-EC44-4AB7-895E-10FFF402B4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DB299" w14:textId="77777777" w:rsidR="000F1EE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46216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495A7" w14:textId="77777777" w:rsidR="000F1EE5" w:rsidRDefault="000F1E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26D0A" w14:textId="77777777" w:rsidR="008E58C6" w:rsidRDefault="008E58C6">
      <w:pPr>
        <w:spacing w:line="240" w:lineRule="auto"/>
      </w:pPr>
      <w:r>
        <w:separator/>
      </w:r>
    </w:p>
  </w:footnote>
  <w:footnote w:type="continuationSeparator" w:id="0">
    <w:p w14:paraId="394D3C36" w14:textId="77777777" w:rsidR="008E58C6" w:rsidRDefault="008E58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36B80" w14:textId="77777777" w:rsidR="000F1EE5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FE46936" wp14:editId="28A53926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58E3C72" wp14:editId="1CB1D2DC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1FCFF6" w14:textId="77777777" w:rsidR="000F1EE5" w:rsidRDefault="000F1EE5">
    <w:pPr>
      <w:jc w:val="right"/>
    </w:pPr>
  </w:p>
  <w:p w14:paraId="4A79EEA0" w14:textId="77777777" w:rsidR="000F1EE5" w:rsidRDefault="000F1EE5">
    <w:pPr>
      <w:jc w:val="right"/>
    </w:pPr>
  </w:p>
  <w:p w14:paraId="42C45D4C" w14:textId="77777777" w:rsidR="000F1EE5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CF2F58C" wp14:editId="3FC2DB7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0368E" w14:textId="77777777" w:rsidR="000F1EE5" w:rsidRDefault="000F1EE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EE5"/>
    <w:rsid w:val="000F1EE5"/>
    <w:rsid w:val="001D6D8A"/>
    <w:rsid w:val="00213ADC"/>
    <w:rsid w:val="00446216"/>
    <w:rsid w:val="007D45F7"/>
    <w:rsid w:val="008E58C6"/>
    <w:rsid w:val="00AC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E56FF"/>
  <w15:docId w15:val="{40C15204-A148-4D55-8935-EF03938B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1297</Words>
  <Characters>7010</Characters>
  <Application>Microsoft Office Word</Application>
  <DocSecurity>0</DocSecurity>
  <Lines>58</Lines>
  <Paragraphs>16</Paragraphs>
  <ScaleCrop>false</ScaleCrop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mara pedrosa</dc:creator>
  <cp:lastModifiedBy>revisora_Claudia</cp:lastModifiedBy>
  <cp:revision>3</cp:revision>
  <dcterms:created xsi:type="dcterms:W3CDTF">2026-08-17T02:19:00Z</dcterms:created>
  <dcterms:modified xsi:type="dcterms:W3CDTF">2026-08-17T02:44:00Z</dcterms:modified>
</cp:coreProperties>
</file>