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F50ED" w14:textId="396272F8" w:rsidR="00217EA8" w:rsidRDefault="005D4724" w:rsidP="005D4724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5D4724">
        <w:rPr>
          <w:b/>
          <w:bCs/>
          <w:sz w:val="24"/>
          <w:szCs w:val="24"/>
        </w:rPr>
        <w:t>EDUCAÇÃO INDÍGENA, EDUCAÇÃO ESCOLAR INDÍGENA E INTERCULTURALIDADE: NARRATIVAS, EXPERIÊNCIAS E CAMINHOS DE TRANSFORMAÇÃO</w:t>
      </w:r>
      <w:r>
        <w:t xml:space="preserve"> </w:t>
      </w:r>
    </w:p>
    <w:p w14:paraId="3E70530A" w14:textId="77777777" w:rsidR="00217EA8" w:rsidRDefault="00217EA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62E874A" w14:textId="77777777" w:rsidR="00217EA8" w:rsidRDefault="00217EA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AF2ACBB" w14:textId="5D1D3056" w:rsidR="009A61D5" w:rsidRPr="009A61D5" w:rsidRDefault="00DA5C77" w:rsidP="009A61D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A61D5">
        <w:rPr>
          <w:b/>
          <w:bCs/>
        </w:rPr>
        <w:t xml:space="preserve"> </w:t>
      </w:r>
      <w:r w:rsidR="009A61D5" w:rsidRPr="009A61D5">
        <w:rPr>
          <w:b/>
          <w:bCs/>
          <w:color w:val="000000"/>
          <w:sz w:val="24"/>
          <w:szCs w:val="24"/>
        </w:rPr>
        <w:t xml:space="preserve">Cultura, Identidade e Valores Comunitários em </w:t>
      </w:r>
      <w:r w:rsidR="009A61D5" w:rsidRPr="009A61D5">
        <w:rPr>
          <w:b/>
          <w:bCs/>
          <w:i/>
          <w:iCs/>
          <w:color w:val="000000"/>
          <w:sz w:val="24"/>
          <w:szCs w:val="24"/>
        </w:rPr>
        <w:t>A Cor do Dinheiro da vovó</w:t>
      </w:r>
      <w:r w:rsidR="009A61D5" w:rsidRPr="009A61D5">
        <w:rPr>
          <w:b/>
          <w:bCs/>
          <w:color w:val="000000"/>
          <w:sz w:val="24"/>
          <w:szCs w:val="24"/>
        </w:rPr>
        <w:t>, de C</w:t>
      </w:r>
      <w:r w:rsidR="005C2F77" w:rsidRPr="009A61D5">
        <w:rPr>
          <w:b/>
          <w:bCs/>
          <w:color w:val="000000"/>
          <w:sz w:val="24"/>
          <w:szCs w:val="24"/>
        </w:rPr>
        <w:t>ristino</w:t>
      </w:r>
      <w:r w:rsidR="009A61D5" w:rsidRPr="009A61D5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="009A61D5" w:rsidRPr="009A61D5">
        <w:rPr>
          <w:b/>
          <w:bCs/>
          <w:color w:val="000000"/>
          <w:sz w:val="24"/>
          <w:szCs w:val="24"/>
        </w:rPr>
        <w:t>Wapichana</w:t>
      </w:r>
      <w:proofErr w:type="spellEnd"/>
    </w:p>
    <w:p w14:paraId="720907DC" w14:textId="2AD97B65" w:rsidR="00217EA8" w:rsidRDefault="00217EA8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3F11B8D3" w14:textId="77777777" w:rsidR="00217EA8" w:rsidRDefault="00217EA8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556E3F8" w14:textId="5AD6F8D6" w:rsidR="00217EA8" w:rsidRDefault="009A61D5" w:rsidP="00FC5FE5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Lauriana Fogaça Ferreira dos Santos, POSLLI</w:t>
      </w:r>
      <w:r w:rsidR="00FC5FE5">
        <w:rPr>
          <w:sz w:val="24"/>
          <w:szCs w:val="24"/>
        </w:rPr>
        <w:t>/UEG, laurianafs@gmail.com</w:t>
      </w:r>
    </w:p>
    <w:p w14:paraId="0174831B" w14:textId="77777777" w:rsidR="00217EA8" w:rsidRDefault="00217EA8">
      <w:pPr>
        <w:keepLines/>
        <w:widowControl w:val="0"/>
        <w:spacing w:line="240" w:lineRule="auto"/>
        <w:rPr>
          <w:sz w:val="24"/>
          <w:szCs w:val="24"/>
        </w:rPr>
      </w:pPr>
    </w:p>
    <w:p w14:paraId="6DD64666" w14:textId="77777777" w:rsidR="00217EA8" w:rsidRDefault="00217EA8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0579B9C" w14:textId="77777777" w:rsidR="00217EA8" w:rsidRDefault="00DA5C77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3BBEEF49" w14:textId="6691ADC7" w:rsid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 xml:space="preserve">O presente trabalho analisa a obra </w:t>
      </w:r>
      <w:r w:rsidRPr="009A61D5">
        <w:rPr>
          <w:rStyle w:val="nfase"/>
          <w:rFonts w:ascii="Arial" w:hAnsi="Arial" w:cs="Arial"/>
        </w:rPr>
        <w:t>A cor do dinheiro da vovó</w:t>
      </w:r>
      <w:r w:rsidRPr="009A61D5">
        <w:rPr>
          <w:rFonts w:ascii="Arial" w:hAnsi="Arial" w:cs="Arial"/>
        </w:rPr>
        <w:t xml:space="preserve">, de Cristino </w:t>
      </w:r>
      <w:proofErr w:type="spellStart"/>
      <w:r w:rsidRPr="009A61D5">
        <w:rPr>
          <w:rFonts w:ascii="Arial" w:hAnsi="Arial" w:cs="Arial"/>
        </w:rPr>
        <w:t>Wapichana</w:t>
      </w:r>
      <w:proofErr w:type="spellEnd"/>
      <w:r w:rsidRPr="009A61D5">
        <w:rPr>
          <w:rFonts w:ascii="Arial" w:hAnsi="Arial" w:cs="Arial"/>
        </w:rPr>
        <w:t xml:space="preserve">, escritor indígena pertencente ao povo </w:t>
      </w:r>
      <w:proofErr w:type="spellStart"/>
      <w:r w:rsidRPr="009A61D5">
        <w:rPr>
          <w:rFonts w:ascii="Arial" w:hAnsi="Arial" w:cs="Arial"/>
        </w:rPr>
        <w:t>Wapichana</w:t>
      </w:r>
      <w:proofErr w:type="spellEnd"/>
      <w:r w:rsidRPr="009A61D5">
        <w:rPr>
          <w:rFonts w:ascii="Arial" w:hAnsi="Arial" w:cs="Arial"/>
        </w:rPr>
        <w:t xml:space="preserve">, a partir de uma perspectiva sociocultural, buscando compreender de que maneira a narrativa literária contribui para a valorização dos saberes, dos modos de vida, das relações comunitárias e das identidades dos povos indígenas. Publicada em um contexto de fortalecimento da literatura indígena contemporânea, a obra apresenta uma narrativa protagonizada por uma avó indígena que guarda uma determinada quantia em dinheiro, despertando a curiosidade das crianças da comunidade. Inicialmente, o dinheiro aparece como um objeto cercado de mistério e curiosidade, especialmente porque as crianças procuram compreender sua origem, sua finalidade e a razão pela qual a avó o mantém guardado. Entretanto, à medida que a narrativa se desenvolve, o leitor percebe que o dinheiro não está associado ao acúmulo individual, ao consumo ou à busca por enriquecimento, mas a um propósito que ultrapassa o indivíduo e se relaciona diretamente com a coletividade. </w:t>
      </w:r>
    </w:p>
    <w:p w14:paraId="5A9BA9C4" w14:textId="77777777" w:rsidR="009A61D5" w:rsidRP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 xml:space="preserve">Para a discussão acerca da literatura indígena e da constituição das personagens, são mobilizados os estudos de </w:t>
      </w:r>
      <w:proofErr w:type="spellStart"/>
      <w:r w:rsidRPr="009A61D5">
        <w:rPr>
          <w:rFonts w:ascii="Arial" w:hAnsi="Arial" w:cs="Arial"/>
        </w:rPr>
        <w:t>Stacciarini</w:t>
      </w:r>
      <w:proofErr w:type="spellEnd"/>
      <w:r w:rsidRPr="009A61D5">
        <w:rPr>
          <w:rFonts w:ascii="Arial" w:hAnsi="Arial" w:cs="Arial"/>
        </w:rPr>
        <w:t xml:space="preserve"> (2024), Pataxó (2024) e Candido (2014). A partir desses referenciais, compreende-se a personagem literária não apenas como elemento responsável pelo desenvolvimento da narrativa, mas como uma construção que possibilita a expressão de valores, experiências, conflitos e modos de compreender o mundo. Na obra analisada, a personagem da avó ocupa uma posição significativa na transmissão de conhecimentos e na preservação da memória coletiva. Sua presença ultrapassa a função de uma personagem familiar e assume uma dimensão simbólica, uma vez que representa a experiência, a ancestralidade e a </w:t>
      </w:r>
      <w:r w:rsidRPr="009A61D5">
        <w:rPr>
          <w:rFonts w:ascii="Arial" w:hAnsi="Arial" w:cs="Arial"/>
        </w:rPr>
        <w:lastRenderedPageBreak/>
        <w:t>continuidade dos saberes entre diferentes gerações. A relação estabelecida entre a avó e as crianças evidencia a importância dos mais velhos como sujeitos responsáveis pela transmissão de conhecimentos e pela manutenção de práticas culturais dentro da comunidade.</w:t>
      </w:r>
    </w:p>
    <w:p w14:paraId="20CCAFCD" w14:textId="77777777" w:rsidR="009A61D5" w:rsidRP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>Nesse processo, a narrativa também apresenta as crianças como sujeitos participantes da vida comunitária. A curiosidade infantil constitui um elemento importante para o desenvolvimento da história, pois é por meio das perguntas, da observação e da interação com os mais velhos que novos conhecimentos são construídos. A infância, portanto, não aparece representada de maneira isolada ou desvinculada do grupo social, mas inserida em uma rede de relações familiares e comunitárias. As crianças aprendem por meio da convivência, da escuta e da participação nas práticas cotidianas, revelando uma concepção de infância que se distancia de perspectivas individualizantes e reforça a dimensão coletiva da formação dos sujeitos.</w:t>
      </w:r>
    </w:p>
    <w:p w14:paraId="67811F04" w14:textId="637DA78D" w:rsidR="009A61D5" w:rsidRP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 xml:space="preserve">Para compreender a dimensão cultural presente na obra, são mobilizados os estudos de </w:t>
      </w:r>
      <w:proofErr w:type="spellStart"/>
      <w:r w:rsidRPr="009A61D5">
        <w:rPr>
          <w:rFonts w:ascii="Arial" w:hAnsi="Arial" w:cs="Arial"/>
        </w:rPr>
        <w:t>Laraia</w:t>
      </w:r>
      <w:proofErr w:type="spellEnd"/>
      <w:r w:rsidRPr="009A61D5">
        <w:rPr>
          <w:rFonts w:ascii="Arial" w:hAnsi="Arial" w:cs="Arial"/>
        </w:rPr>
        <w:t xml:space="preserve"> (2001), Geertz (1989) e Hall (2006). </w:t>
      </w:r>
      <w:proofErr w:type="spellStart"/>
      <w:r w:rsidRPr="009A61D5">
        <w:rPr>
          <w:rFonts w:ascii="Arial" w:hAnsi="Arial" w:cs="Arial"/>
        </w:rPr>
        <w:t>Laraia</w:t>
      </w:r>
      <w:proofErr w:type="spellEnd"/>
      <w:r w:rsidRPr="009A61D5">
        <w:rPr>
          <w:rFonts w:ascii="Arial" w:hAnsi="Arial" w:cs="Arial"/>
        </w:rPr>
        <w:t xml:space="preserve"> (2001) compreende a cultura como algo aprendido e compartilhado socialmente, responsável por orientar práticas, valores, comportamentos e modos de vida. A partir dessa perspectiva, os acontecimentos narrados em </w:t>
      </w:r>
      <w:r w:rsidRPr="009A61D5">
        <w:rPr>
          <w:rStyle w:val="nfase"/>
          <w:rFonts w:ascii="Arial" w:hAnsi="Arial" w:cs="Arial"/>
        </w:rPr>
        <w:t>A cor do dinheiro da vovó</w:t>
      </w:r>
      <w:r w:rsidRPr="009A61D5">
        <w:rPr>
          <w:rFonts w:ascii="Arial" w:hAnsi="Arial" w:cs="Arial"/>
        </w:rPr>
        <w:t xml:space="preserve"> podem ser compreendidos como manifestações de uma cultura que se constrói e se transmite por meio das relações sociais. A narrativa, nesse sentido, possibilita ao leitor entrar em contato com formas específicas de organização das relações sociais e compreender que existem diferentes maneiras de conceber a vida em comunidade.</w:t>
      </w:r>
    </w:p>
    <w:p w14:paraId="5F8FCA99" w14:textId="77777777" w:rsidR="009A61D5" w:rsidRP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 xml:space="preserve">Em diálogo com </w:t>
      </w:r>
      <w:proofErr w:type="spellStart"/>
      <w:r w:rsidRPr="009A61D5">
        <w:rPr>
          <w:rFonts w:ascii="Arial" w:hAnsi="Arial" w:cs="Arial"/>
        </w:rPr>
        <w:t>Laraia</w:t>
      </w:r>
      <w:proofErr w:type="spellEnd"/>
      <w:r w:rsidRPr="009A61D5">
        <w:rPr>
          <w:rFonts w:ascii="Arial" w:hAnsi="Arial" w:cs="Arial"/>
        </w:rPr>
        <w:t xml:space="preserve">, Geertz (1989) entende a cultura como uma teia de significados construída socialmente, por meio da qual os sujeitos interpretam e atribuem sentido às suas experiências. Sob essa perspectiva, o dinheiro presente na narrativa pode ser compreendido para além de seu valor material. Seu significado é construído a partir das relações estabelecidas entre as personagens e dos valores comunitários que orientam suas ações. O objeto, inicialmente associado a uma ideia de riqueza ou posse, adquire outro sentido quando inserido no contexto cultural apresentado por </w:t>
      </w:r>
      <w:proofErr w:type="spellStart"/>
      <w:r w:rsidRPr="009A61D5">
        <w:rPr>
          <w:rFonts w:ascii="Arial" w:hAnsi="Arial" w:cs="Arial"/>
        </w:rPr>
        <w:t>Wapichana</w:t>
      </w:r>
      <w:proofErr w:type="spellEnd"/>
      <w:r w:rsidRPr="009A61D5">
        <w:rPr>
          <w:rFonts w:ascii="Arial" w:hAnsi="Arial" w:cs="Arial"/>
        </w:rPr>
        <w:t xml:space="preserve">. Assim, a obra possibilita questionar significados considerados universais e evidencia que objetos, práticas e comportamentos podem </w:t>
      </w:r>
      <w:r w:rsidRPr="009A61D5">
        <w:rPr>
          <w:rFonts w:ascii="Arial" w:hAnsi="Arial" w:cs="Arial"/>
        </w:rPr>
        <w:lastRenderedPageBreak/>
        <w:t>assumir sentidos distintos de acordo com o contexto sociocultural em que estão inseridos.</w:t>
      </w:r>
    </w:p>
    <w:p w14:paraId="2A5C29DF" w14:textId="7DC49829" w:rsidR="009A61D5" w:rsidRP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 xml:space="preserve">A contribuição de Hall (2006) permite, ainda, compreender a identidade como um processo histórico e cultural em constante construção, e não como uma essência fixa ou imutável. Nessa perspectiva, a obra de Cristino </w:t>
      </w:r>
      <w:proofErr w:type="spellStart"/>
      <w:r w:rsidRPr="009A61D5">
        <w:rPr>
          <w:rFonts w:ascii="Arial" w:hAnsi="Arial" w:cs="Arial"/>
        </w:rPr>
        <w:t>Wapichana</w:t>
      </w:r>
      <w:proofErr w:type="spellEnd"/>
      <w:r w:rsidRPr="009A61D5">
        <w:rPr>
          <w:rFonts w:ascii="Arial" w:hAnsi="Arial" w:cs="Arial"/>
        </w:rPr>
        <w:t xml:space="preserve"> constitui-se também como espaço de afirmação da identidade indígena, uma vez que apresenta personagens, relações sociais, valores e formas de compreender o mundo a partir de uma perspectiva indígena. Ao apresentar uma comunidade indígena em sua dimensão cotidiana, familiar e comunitária, </w:t>
      </w:r>
      <w:proofErr w:type="spellStart"/>
      <w:r w:rsidRPr="009A61D5">
        <w:rPr>
          <w:rFonts w:ascii="Arial" w:hAnsi="Arial" w:cs="Arial"/>
        </w:rPr>
        <w:t>Wapichana</w:t>
      </w:r>
      <w:proofErr w:type="spellEnd"/>
      <w:r w:rsidRPr="009A61D5">
        <w:rPr>
          <w:rFonts w:ascii="Arial" w:hAnsi="Arial" w:cs="Arial"/>
        </w:rPr>
        <w:t xml:space="preserve"> evidencia que a identidade indígena se manifesta em práticas, conhecimentos, relações e memórias que permanecem em constante movimento e transformação.</w:t>
      </w:r>
    </w:p>
    <w:p w14:paraId="2CBF2522" w14:textId="1C49F5EF" w:rsidR="009A61D5" w:rsidRP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 xml:space="preserve">Nesse sentido, também recorremos às reflexões de </w:t>
      </w:r>
      <w:proofErr w:type="spellStart"/>
      <w:r w:rsidRPr="009A61D5">
        <w:rPr>
          <w:rFonts w:ascii="Arial" w:hAnsi="Arial" w:cs="Arial"/>
        </w:rPr>
        <w:t>Chimamanda</w:t>
      </w:r>
      <w:proofErr w:type="spellEnd"/>
      <w:r w:rsidRPr="009A61D5">
        <w:rPr>
          <w:rFonts w:ascii="Arial" w:hAnsi="Arial" w:cs="Arial"/>
        </w:rPr>
        <w:t xml:space="preserve"> </w:t>
      </w:r>
      <w:proofErr w:type="spellStart"/>
      <w:r w:rsidRPr="009A61D5">
        <w:rPr>
          <w:rFonts w:ascii="Arial" w:hAnsi="Arial" w:cs="Arial"/>
        </w:rPr>
        <w:t>Ngozi</w:t>
      </w:r>
      <w:proofErr w:type="spellEnd"/>
      <w:r w:rsidRPr="009A61D5">
        <w:rPr>
          <w:rFonts w:ascii="Arial" w:hAnsi="Arial" w:cs="Arial"/>
        </w:rPr>
        <w:t xml:space="preserve"> </w:t>
      </w:r>
      <w:proofErr w:type="spellStart"/>
      <w:r w:rsidRPr="009A61D5">
        <w:rPr>
          <w:rFonts w:ascii="Arial" w:hAnsi="Arial" w:cs="Arial"/>
        </w:rPr>
        <w:t>Adichie</w:t>
      </w:r>
      <w:proofErr w:type="spellEnd"/>
      <w:r w:rsidRPr="009A61D5">
        <w:rPr>
          <w:rFonts w:ascii="Arial" w:hAnsi="Arial" w:cs="Arial"/>
        </w:rPr>
        <w:t xml:space="preserve"> (2019) acerca dos perigos de uma história única. A autora chama atenção para os efeitos produzidos quando determinados grupos são representados exclusivamente a partir de uma única perspectiva, especialmente quando essa representação é construída por sujeitos externos e marcada por estereótipos. A literatura indígena contemporânea, ao apresentar outras possibilidades de narrar as experiências dos povos originários, contribui para romper com essa perspectiva limitada. Em </w:t>
      </w:r>
      <w:r w:rsidRPr="009A61D5">
        <w:rPr>
          <w:rStyle w:val="nfase"/>
          <w:rFonts w:ascii="Arial" w:hAnsi="Arial" w:cs="Arial"/>
        </w:rPr>
        <w:t>A cor do dinheiro da vovó</w:t>
      </w:r>
      <w:r w:rsidRPr="009A61D5">
        <w:rPr>
          <w:rFonts w:ascii="Arial" w:hAnsi="Arial" w:cs="Arial"/>
        </w:rPr>
        <w:t>, encontramos personagens inseridas em relações familiares e comunitárias, portadoras de conhecimentos e valores próprios e capazes de produzir e transmitir suas próprias narrativas. A obra, portanto, amplia o repertório de representações sobre os povos indígenas e permite que o leitor reconheça a pluralidade das experiências humanas e culturais.</w:t>
      </w:r>
    </w:p>
    <w:p w14:paraId="3C004A04" w14:textId="24FDB9F5" w:rsidR="009A61D5" w:rsidRP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 xml:space="preserve">A narrativa coloca em evidência valores que contrastam com perspectivas sociais marcadas pelo individualismo e pelo acúmulo, possibilitando ao leitor refletir sobre diferentes formas de organização da vida e sobre outras possibilidades de estabelecer relações com os bens materiais. </w:t>
      </w:r>
    </w:p>
    <w:p w14:paraId="72244BEC" w14:textId="5C6C88BF" w:rsidR="009A61D5" w:rsidRP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 xml:space="preserve">A ancestralidade também se constitui como elemento fundamental da narrativa. A figura da avó representa uma ponte entre gerações, responsável pela preservação e transmissão de conhecimentos que não estão necessariamente registrados em livros, mas são aprendidos por meio da oralidade, da convivência e da experiência. A </w:t>
      </w:r>
      <w:r w:rsidRPr="009A61D5">
        <w:rPr>
          <w:rFonts w:ascii="Arial" w:hAnsi="Arial" w:cs="Arial"/>
        </w:rPr>
        <w:lastRenderedPageBreak/>
        <w:t xml:space="preserve">experiência ancestral possui valor formativo e participa diretamente da construção da identidade das novas gerações. </w:t>
      </w:r>
    </w:p>
    <w:p w14:paraId="7581A015" w14:textId="4B8D164D" w:rsidR="009A61D5" w:rsidRP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 xml:space="preserve">Ao colocar em circulação narrativas produzidas por um escritor indígena e apresentar uma comunidade a partir de sua própria perspectiva cultural, a obra contribui para a construção de representações mais plurais e complexas. Essa dimensão torna-se especialmente relevante no contexto educacional brasileiro, considerando a necessidade de efetivação da Lei nº 11.645/2008, que estabelece a obrigatoriedade do ensino da história e da cultura afro-brasileira e indígena. </w:t>
      </w:r>
    </w:p>
    <w:p w14:paraId="08E72F82" w14:textId="7E9D676E" w:rsidR="009A61D5" w:rsidRDefault="009A61D5" w:rsidP="009A61D5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9A61D5">
        <w:rPr>
          <w:rFonts w:ascii="Arial" w:hAnsi="Arial" w:cs="Arial"/>
        </w:rPr>
        <w:t xml:space="preserve">A obra possibilita compreender que existem diferentes maneiras de conceber riqueza, pertencimento, conhecimento e relações sociais, contribuindo para o reconhecimento da diversidade cultural dos povos indígenas. Ao mesmo tempo, reafirma a literatura indígena como espaço de resistência, autoria, memória e afirmação identitária. Conclui-se, portanto, que </w:t>
      </w:r>
      <w:r w:rsidRPr="009A61D5">
        <w:rPr>
          <w:rStyle w:val="nfase"/>
          <w:rFonts w:ascii="Arial" w:hAnsi="Arial" w:cs="Arial"/>
        </w:rPr>
        <w:t>A cor do dinheiro da vovó</w:t>
      </w:r>
      <w:r w:rsidRPr="009A61D5">
        <w:rPr>
          <w:rFonts w:ascii="Arial" w:hAnsi="Arial" w:cs="Arial"/>
        </w:rPr>
        <w:t xml:space="preserve"> ultrapassa a dimensão de uma narrativa infantil e constitui-se como uma obra que possibilita o diálogo entre diferentes culturas, questiona perspectivas únicas e amplia as formas de representação das infâncias indígenas. Nesse sentido, a produção de </w:t>
      </w:r>
      <w:proofErr w:type="spellStart"/>
      <w:r w:rsidRPr="009A61D5">
        <w:rPr>
          <w:rFonts w:ascii="Arial" w:hAnsi="Arial" w:cs="Arial"/>
        </w:rPr>
        <w:t>Wapichana</w:t>
      </w:r>
      <w:proofErr w:type="spellEnd"/>
      <w:r w:rsidRPr="009A61D5">
        <w:rPr>
          <w:rFonts w:ascii="Arial" w:hAnsi="Arial" w:cs="Arial"/>
        </w:rPr>
        <w:t xml:space="preserve"> contribui para a valorização dos saberes ancestrais e comunitários, para o fortalecimento das identidades indígenas e para a construção de uma literatura infantil comprometida com a diversidade cultural e com o reconhecimento de diferentes modos de existir e compreender o mundo.</w:t>
      </w:r>
    </w:p>
    <w:p w14:paraId="4EF6183F" w14:textId="77777777" w:rsidR="009A61D5" w:rsidRDefault="009A61D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E65AB2D" w14:textId="77777777" w:rsidR="00217EA8" w:rsidRDefault="00DA5C77" w:rsidP="009A61D5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3154FED1" w14:textId="5EA8968B" w:rsidR="00217EA8" w:rsidRDefault="009A61D5" w:rsidP="009A61D5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9A61D5">
        <w:t xml:space="preserve">Literatura indígena; Literatura infantil; Cristino </w:t>
      </w:r>
      <w:proofErr w:type="spellStart"/>
      <w:r w:rsidRPr="009A61D5">
        <w:t>Wapichana</w:t>
      </w:r>
      <w:proofErr w:type="spellEnd"/>
      <w:r w:rsidRPr="009A61D5">
        <w:t>; Cultura; Identidade; Ancestralidade.</w:t>
      </w:r>
    </w:p>
    <w:p w14:paraId="24C05FDC" w14:textId="77777777" w:rsidR="00217EA8" w:rsidRDefault="00217EA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32A3CCA" w14:textId="238436E6" w:rsidR="00217EA8" w:rsidRDefault="00DA5C77" w:rsidP="009A61D5">
      <w:pPr>
        <w:keepLines/>
        <w:widowControl w:val="0"/>
        <w:spacing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37CFFEF0" w14:textId="7E78123F" w:rsidR="009A61D5" w:rsidRPr="009A61D5" w:rsidRDefault="009A61D5" w:rsidP="009A61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"/>
        <w:jc w:val="both"/>
        <w:rPr>
          <w:color w:val="000000"/>
          <w:sz w:val="24"/>
          <w:szCs w:val="24"/>
        </w:rPr>
      </w:pPr>
      <w:r w:rsidRPr="009A61D5">
        <w:rPr>
          <w:color w:val="000000"/>
          <w:sz w:val="24"/>
          <w:szCs w:val="24"/>
        </w:rPr>
        <w:t>ADICHIE, C</w:t>
      </w:r>
      <w:r w:rsidR="00ED6056">
        <w:rPr>
          <w:color w:val="000000"/>
          <w:sz w:val="24"/>
          <w:szCs w:val="24"/>
        </w:rPr>
        <w:t xml:space="preserve">. </w:t>
      </w:r>
      <w:r w:rsidRPr="009A61D5">
        <w:rPr>
          <w:color w:val="000000"/>
          <w:sz w:val="24"/>
          <w:szCs w:val="24"/>
        </w:rPr>
        <w:t xml:space="preserve">N. </w:t>
      </w:r>
      <w:r w:rsidRPr="009A61D5">
        <w:rPr>
          <w:b/>
          <w:bCs/>
          <w:color w:val="000000"/>
          <w:sz w:val="24"/>
          <w:szCs w:val="24"/>
        </w:rPr>
        <w:t>O perigo de uma história única.</w:t>
      </w:r>
      <w:r w:rsidRPr="009A61D5">
        <w:rPr>
          <w:color w:val="000000"/>
          <w:sz w:val="24"/>
          <w:szCs w:val="24"/>
        </w:rPr>
        <w:t xml:space="preserve"> São Paulo: Companhia das Letras, 2019.</w:t>
      </w:r>
    </w:p>
    <w:p w14:paraId="41741CB9" w14:textId="77777777" w:rsidR="009A61D5" w:rsidRPr="009A61D5" w:rsidRDefault="009A61D5" w:rsidP="009A61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"/>
        <w:jc w:val="both"/>
        <w:rPr>
          <w:rFonts w:eastAsia="Times New Roman"/>
          <w:color w:val="000000"/>
          <w:sz w:val="28"/>
          <w:szCs w:val="28"/>
        </w:rPr>
      </w:pPr>
    </w:p>
    <w:p w14:paraId="1E7EAF63" w14:textId="24238376" w:rsidR="009A61D5" w:rsidRPr="009A61D5" w:rsidRDefault="009A61D5" w:rsidP="009A61D5">
      <w:pPr>
        <w:spacing w:line="240" w:lineRule="auto"/>
        <w:ind w:left="2" w:right="3"/>
        <w:jc w:val="both"/>
        <w:rPr>
          <w:rFonts w:eastAsia="Times New Roman"/>
          <w:sz w:val="24"/>
          <w:szCs w:val="24"/>
        </w:rPr>
      </w:pPr>
      <w:r w:rsidRPr="009A61D5">
        <w:rPr>
          <w:rFonts w:eastAsia="Times New Roman"/>
          <w:sz w:val="24"/>
          <w:szCs w:val="24"/>
        </w:rPr>
        <w:t xml:space="preserve">CANDIDO, A. (Org.). </w:t>
      </w:r>
      <w:r w:rsidRPr="009A61D5">
        <w:rPr>
          <w:rFonts w:eastAsia="Times New Roman"/>
          <w:b/>
          <w:bCs/>
          <w:sz w:val="24"/>
          <w:szCs w:val="24"/>
        </w:rPr>
        <w:t>A personagem de ficção</w:t>
      </w:r>
      <w:r w:rsidRPr="009A61D5">
        <w:rPr>
          <w:rFonts w:eastAsia="Times New Roman"/>
          <w:sz w:val="24"/>
          <w:szCs w:val="24"/>
        </w:rPr>
        <w:t xml:space="preserve">. São Paulo: Perspectiva, 2014. </w:t>
      </w:r>
    </w:p>
    <w:p w14:paraId="7D1B3C0F" w14:textId="77777777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9A61D5">
        <w:rPr>
          <w:rFonts w:eastAsia="Times New Roman"/>
          <w:sz w:val="24"/>
          <w:szCs w:val="24"/>
        </w:rPr>
        <w:t xml:space="preserve">GEERTZ, Clifford. </w:t>
      </w:r>
      <w:r w:rsidRPr="009A61D5">
        <w:rPr>
          <w:rFonts w:eastAsia="Times New Roman"/>
          <w:b/>
          <w:bCs/>
          <w:sz w:val="24"/>
          <w:szCs w:val="24"/>
        </w:rPr>
        <w:t>A interpretação das culturas</w:t>
      </w:r>
      <w:r w:rsidRPr="009A61D5">
        <w:rPr>
          <w:rFonts w:eastAsia="Times New Roman"/>
          <w:sz w:val="24"/>
          <w:szCs w:val="24"/>
        </w:rPr>
        <w:t>. Rio de Janeiro: Editora Guanabara,</w:t>
      </w:r>
    </w:p>
    <w:p w14:paraId="18DBF626" w14:textId="77777777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9A61D5">
        <w:rPr>
          <w:rFonts w:eastAsia="Times New Roman"/>
          <w:sz w:val="24"/>
          <w:szCs w:val="24"/>
        </w:rPr>
        <w:t>1989</w:t>
      </w:r>
    </w:p>
    <w:p w14:paraId="497EDC75" w14:textId="77777777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22DC4760" w14:textId="01408B10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9A61D5">
        <w:rPr>
          <w:rFonts w:eastAsia="Times New Roman"/>
          <w:sz w:val="24"/>
          <w:szCs w:val="24"/>
        </w:rPr>
        <w:t xml:space="preserve">HALL, S. </w:t>
      </w:r>
      <w:r w:rsidRPr="009A61D5">
        <w:rPr>
          <w:rFonts w:eastAsia="Times New Roman"/>
          <w:b/>
          <w:bCs/>
          <w:sz w:val="24"/>
          <w:szCs w:val="24"/>
        </w:rPr>
        <w:t>A identidade cultural na pós-modernidade</w:t>
      </w:r>
      <w:r w:rsidRPr="009A61D5">
        <w:rPr>
          <w:rFonts w:eastAsia="Times New Roman"/>
          <w:sz w:val="24"/>
          <w:szCs w:val="24"/>
        </w:rPr>
        <w:t xml:space="preserve">. Tradução de Tomaz Tadeu da Silva e </w:t>
      </w:r>
      <w:proofErr w:type="spellStart"/>
      <w:r w:rsidRPr="009A61D5">
        <w:rPr>
          <w:rFonts w:eastAsia="Times New Roman"/>
          <w:sz w:val="24"/>
          <w:szCs w:val="24"/>
        </w:rPr>
        <w:t>Guacira</w:t>
      </w:r>
      <w:proofErr w:type="spellEnd"/>
      <w:r w:rsidRPr="009A61D5">
        <w:rPr>
          <w:rFonts w:eastAsia="Times New Roman"/>
          <w:sz w:val="24"/>
          <w:szCs w:val="24"/>
        </w:rPr>
        <w:t xml:space="preserve"> Lopes Louro. Rio de Janeiro: DP &amp; A Editora, 2006.</w:t>
      </w:r>
    </w:p>
    <w:p w14:paraId="77AB03AA" w14:textId="77777777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76B89022" w14:textId="584FCBB6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9A61D5">
        <w:rPr>
          <w:rFonts w:eastAsia="Times New Roman"/>
          <w:sz w:val="24"/>
          <w:szCs w:val="24"/>
        </w:rPr>
        <w:t xml:space="preserve">LARAIA, R de B. </w:t>
      </w:r>
      <w:r w:rsidRPr="009A61D5">
        <w:rPr>
          <w:rFonts w:eastAsia="Times New Roman"/>
          <w:b/>
          <w:bCs/>
          <w:sz w:val="24"/>
          <w:szCs w:val="24"/>
        </w:rPr>
        <w:t>Cultura: um conceito antropológico</w:t>
      </w:r>
      <w:r w:rsidRPr="009A61D5">
        <w:rPr>
          <w:rFonts w:eastAsia="Times New Roman"/>
          <w:sz w:val="24"/>
          <w:szCs w:val="24"/>
        </w:rPr>
        <w:t>. Rio de Janeiro:</w:t>
      </w:r>
    </w:p>
    <w:p w14:paraId="217E6077" w14:textId="77777777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9A61D5">
        <w:rPr>
          <w:rFonts w:eastAsia="Times New Roman"/>
          <w:sz w:val="24"/>
          <w:szCs w:val="24"/>
        </w:rPr>
        <w:lastRenderedPageBreak/>
        <w:t>Zahar, 2001.</w:t>
      </w:r>
    </w:p>
    <w:p w14:paraId="08476F4E" w14:textId="77777777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3785AE0C" w14:textId="1C2502D1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9A61D5">
        <w:rPr>
          <w:rFonts w:eastAsia="Times New Roman"/>
          <w:sz w:val="24"/>
          <w:szCs w:val="24"/>
        </w:rPr>
        <w:t xml:space="preserve">PATAXÓ, C. </w:t>
      </w:r>
      <w:r w:rsidRPr="009A61D5">
        <w:rPr>
          <w:rFonts w:eastAsia="Times New Roman"/>
          <w:b/>
          <w:bCs/>
          <w:sz w:val="24"/>
          <w:szCs w:val="24"/>
        </w:rPr>
        <w:t>Literatura Indígena e a Educação</w:t>
      </w:r>
      <w:r w:rsidRPr="009A61D5">
        <w:rPr>
          <w:rFonts w:eastAsia="Times New Roman"/>
          <w:sz w:val="24"/>
          <w:szCs w:val="24"/>
        </w:rPr>
        <w:t xml:space="preserve">. In: Infâncias e leituras – Presenças negras e indígenas na literatura infantil; organização Márcia </w:t>
      </w:r>
      <w:proofErr w:type="spellStart"/>
      <w:r w:rsidRPr="009A61D5">
        <w:rPr>
          <w:rFonts w:eastAsia="Times New Roman"/>
          <w:sz w:val="24"/>
          <w:szCs w:val="24"/>
        </w:rPr>
        <w:t>Licá</w:t>
      </w:r>
      <w:proofErr w:type="spellEnd"/>
      <w:r w:rsidRPr="009A61D5">
        <w:rPr>
          <w:rFonts w:eastAsia="Times New Roman"/>
          <w:sz w:val="24"/>
          <w:szCs w:val="24"/>
        </w:rPr>
        <w:t xml:space="preserve"> – São Paulo; Editora Pulo do gato, 2024.</w:t>
      </w:r>
    </w:p>
    <w:p w14:paraId="1E72CA5E" w14:textId="77777777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34CA40FB" w14:textId="61BDEF64" w:rsidR="009A61D5" w:rsidRPr="009A61D5" w:rsidRDefault="009A61D5" w:rsidP="009A61D5">
      <w:pPr>
        <w:spacing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9A61D5">
        <w:rPr>
          <w:rFonts w:eastAsia="Times New Roman"/>
          <w:color w:val="000000"/>
          <w:sz w:val="24"/>
          <w:szCs w:val="24"/>
          <w:highlight w:val="white"/>
        </w:rPr>
        <w:t xml:space="preserve">STACCIARINI, S. L. </w:t>
      </w:r>
      <w:r w:rsidRPr="009A61D5">
        <w:rPr>
          <w:rFonts w:eastAsia="Times New Roman"/>
          <w:b/>
          <w:bCs/>
          <w:color w:val="000000"/>
          <w:sz w:val="24"/>
          <w:szCs w:val="24"/>
          <w:highlight w:val="white"/>
        </w:rPr>
        <w:t>O Espaço Narrativo na Literatura Indígena Brasileira Voltada ao Público Infantil</w:t>
      </w:r>
      <w:r w:rsidRPr="009A61D5">
        <w:rPr>
          <w:rFonts w:eastAsia="Times New Roman"/>
          <w:color w:val="000000"/>
          <w:sz w:val="24"/>
          <w:szCs w:val="24"/>
          <w:highlight w:val="white"/>
        </w:rPr>
        <w:t>; Editora Lutz, 2024.</w:t>
      </w:r>
    </w:p>
    <w:p w14:paraId="4E2BA5F0" w14:textId="77777777" w:rsidR="009A61D5" w:rsidRPr="009A61D5" w:rsidRDefault="009A61D5" w:rsidP="009A61D5">
      <w:pPr>
        <w:spacing w:line="240" w:lineRule="auto"/>
        <w:rPr>
          <w:rFonts w:eastAsia="Times New Roman"/>
          <w:sz w:val="24"/>
          <w:szCs w:val="24"/>
        </w:rPr>
      </w:pPr>
    </w:p>
    <w:p w14:paraId="7B89D056" w14:textId="52A726FA" w:rsidR="009A61D5" w:rsidRPr="009A61D5" w:rsidRDefault="009A61D5" w:rsidP="009A61D5">
      <w:pPr>
        <w:spacing w:line="240" w:lineRule="auto"/>
        <w:rPr>
          <w:rFonts w:eastAsia="Times New Roman"/>
          <w:sz w:val="24"/>
          <w:szCs w:val="24"/>
        </w:rPr>
      </w:pPr>
      <w:r w:rsidRPr="009A61D5">
        <w:rPr>
          <w:rFonts w:eastAsia="Times New Roman"/>
          <w:sz w:val="24"/>
          <w:szCs w:val="24"/>
        </w:rPr>
        <w:t xml:space="preserve">WAPICHANA, C. </w:t>
      </w:r>
      <w:r w:rsidRPr="009A61D5">
        <w:rPr>
          <w:rFonts w:eastAsia="Times New Roman"/>
          <w:b/>
          <w:bCs/>
          <w:sz w:val="24"/>
          <w:szCs w:val="24"/>
        </w:rPr>
        <w:t xml:space="preserve">A cor do dinheiro da vovó. </w:t>
      </w:r>
      <w:r w:rsidRPr="009A61D5">
        <w:rPr>
          <w:rFonts w:eastAsia="Times New Roman"/>
          <w:sz w:val="24"/>
          <w:szCs w:val="24"/>
        </w:rPr>
        <w:t xml:space="preserve">Ilustrações Alyne </w:t>
      </w:r>
      <w:proofErr w:type="spellStart"/>
      <w:r w:rsidRPr="009A61D5">
        <w:rPr>
          <w:rFonts w:eastAsia="Times New Roman"/>
          <w:sz w:val="24"/>
          <w:szCs w:val="24"/>
        </w:rPr>
        <w:t>Dallacqua</w:t>
      </w:r>
      <w:proofErr w:type="spellEnd"/>
      <w:r w:rsidRPr="009A61D5">
        <w:rPr>
          <w:rFonts w:eastAsia="Times New Roman"/>
          <w:sz w:val="24"/>
          <w:szCs w:val="24"/>
        </w:rPr>
        <w:t xml:space="preserve">. Brasília: </w:t>
      </w:r>
      <w:proofErr w:type="spellStart"/>
      <w:r w:rsidRPr="009A61D5">
        <w:rPr>
          <w:rFonts w:eastAsia="Times New Roman"/>
          <w:sz w:val="24"/>
          <w:szCs w:val="24"/>
        </w:rPr>
        <w:t>Ededê</w:t>
      </w:r>
      <w:proofErr w:type="spellEnd"/>
      <w:r w:rsidRPr="009A61D5">
        <w:rPr>
          <w:rFonts w:eastAsia="Times New Roman"/>
          <w:sz w:val="24"/>
          <w:szCs w:val="24"/>
        </w:rPr>
        <w:t xml:space="preserve"> Brasil, 2019.</w:t>
      </w:r>
    </w:p>
    <w:p w14:paraId="710A5F83" w14:textId="77777777" w:rsidR="009A61D5" w:rsidRPr="009A61D5" w:rsidRDefault="009A61D5" w:rsidP="009A61D5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471DB3F8" w14:textId="77777777" w:rsidR="00217EA8" w:rsidRDefault="00217EA8"/>
    <w:p w14:paraId="598E1184" w14:textId="77777777" w:rsidR="00217EA8" w:rsidRDefault="00217EA8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217EA8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CBA70F" w14:textId="77777777" w:rsidR="00131242" w:rsidRDefault="00131242">
      <w:pPr>
        <w:spacing w:line="240" w:lineRule="auto"/>
      </w:pPr>
      <w:r>
        <w:separator/>
      </w:r>
    </w:p>
  </w:endnote>
  <w:endnote w:type="continuationSeparator" w:id="0">
    <w:p w14:paraId="385F3766" w14:textId="77777777" w:rsidR="00131242" w:rsidRDefault="001312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32BFE5-9486-4123-953A-D8D42B2218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362CB1-220B-4DD3-B552-1E93FD7060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CF9B39" w14:textId="77777777" w:rsidR="00217EA8" w:rsidRDefault="00DA5C77">
    <w:pPr>
      <w:jc w:val="center"/>
    </w:pPr>
    <w:r>
      <w:fldChar w:fldCharType="begin"/>
    </w:r>
    <w:r>
      <w:instrText>PAGE</w:instrText>
    </w:r>
    <w:r>
      <w:fldChar w:fldCharType="separate"/>
    </w:r>
    <w:r w:rsidR="009A61D5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3DE8E" w14:textId="77777777" w:rsidR="00217EA8" w:rsidRDefault="00217E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5845CB" w14:textId="77777777" w:rsidR="00131242" w:rsidRDefault="00131242">
      <w:pPr>
        <w:spacing w:line="240" w:lineRule="auto"/>
      </w:pPr>
      <w:r>
        <w:separator/>
      </w:r>
    </w:p>
  </w:footnote>
  <w:footnote w:type="continuationSeparator" w:id="0">
    <w:p w14:paraId="250AEDA8" w14:textId="77777777" w:rsidR="00131242" w:rsidRDefault="001312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1044B8" w14:textId="77777777" w:rsidR="00217EA8" w:rsidRDefault="00DA5C77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5D6AF6C" wp14:editId="3814981A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91BFD6F" wp14:editId="11D6329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291165" w14:textId="77777777" w:rsidR="00217EA8" w:rsidRDefault="00217EA8">
    <w:pPr>
      <w:jc w:val="right"/>
    </w:pPr>
  </w:p>
  <w:p w14:paraId="4F8D45A1" w14:textId="77777777" w:rsidR="00217EA8" w:rsidRDefault="00217EA8">
    <w:pPr>
      <w:jc w:val="right"/>
    </w:pPr>
  </w:p>
  <w:p w14:paraId="79B507BA" w14:textId="77777777" w:rsidR="00217EA8" w:rsidRDefault="00DA5C77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15F8539" wp14:editId="2886C8A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95CC7E" w14:textId="77777777" w:rsidR="00217EA8" w:rsidRDefault="00217EA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EA8"/>
    <w:rsid w:val="00131242"/>
    <w:rsid w:val="001757C2"/>
    <w:rsid w:val="00217EA8"/>
    <w:rsid w:val="002E5711"/>
    <w:rsid w:val="005C2F77"/>
    <w:rsid w:val="005D4724"/>
    <w:rsid w:val="009A61D5"/>
    <w:rsid w:val="00DA5C77"/>
    <w:rsid w:val="00ED6056"/>
    <w:rsid w:val="00FC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8EDEB"/>
  <w15:docId w15:val="{4E1D58FF-A684-4EB5-9362-E71658ED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isselectedend">
    <w:name w:val="isselectedend"/>
    <w:basedOn w:val="Normal"/>
    <w:rsid w:val="009A6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A61D5"/>
    <w:rPr>
      <w:b/>
      <w:bCs/>
    </w:rPr>
  </w:style>
  <w:style w:type="character" w:styleId="nfase">
    <w:name w:val="Emphasis"/>
    <w:basedOn w:val="Fontepargpadro"/>
    <w:uiPriority w:val="20"/>
    <w:qFormat/>
    <w:rsid w:val="009A61D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A6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1457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Lauriana Fogaça</cp:lastModifiedBy>
  <cp:revision>4</cp:revision>
  <dcterms:created xsi:type="dcterms:W3CDTF">2026-08-17T01:33:00Z</dcterms:created>
  <dcterms:modified xsi:type="dcterms:W3CDTF">2026-08-17T02:26:00Z</dcterms:modified>
</cp:coreProperties>
</file>