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Lines w:val="1"/>
        <w:widowControl w:val="0"/>
        <w:spacing w:line="24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CONVERSATÓRIO 12 - EDUCAÇÃO DECOLONIAL E O ENSINO DE CIÊNCIAS NATURAIS E MATEMÁTICA</w:t>
      </w:r>
    </w:p>
    <w:p w:rsidR="00000000" w:rsidDel="00000000" w:rsidP="00000000" w:rsidRDefault="00000000" w:rsidRPr="00000000" w14:paraId="00000002">
      <w:pPr>
        <w:keepLines w:val="1"/>
        <w:widowControl w:val="0"/>
        <w:spacing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Lines w:val="1"/>
        <w:widowControl w:val="0"/>
        <w:spacing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Lines w:val="1"/>
        <w:widowControl w:val="0"/>
        <w:spacing w:line="240" w:lineRule="auto"/>
        <w:jc w:val="center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A PESCA COM O TIMBÓ NA COSMOPERCEPÇÃO KURÂ-BAKAIRI COMO TECNOLOGIA ANCESTRAL: CORPO-TERRITÓRIO E DIÁLOGO DE SABERES NA EDUCAÇÃO EM CIÊNCIAS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Lines w:val="1"/>
        <w:widowControl w:val="0"/>
        <w:spacing w:line="240" w:lineRule="auto"/>
        <w:jc w:val="righ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Lines w:val="1"/>
        <w:widowControl w:val="0"/>
        <w:spacing w:line="240" w:lineRule="auto"/>
        <w:jc w:val="righ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Yasmin Lima de Jesus, Núcleo de Estudos Afro-brasileiros e Indígenas (NEABI) da Universidade Federal de Sergipe (UFS), e-mail: </w:t>
      </w:r>
      <w:hyperlink r:id="rId7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yasminlima.jly@gmail.com</w:t>
        </w:r>
      </w:hyperlink>
      <w:r w:rsidDel="00000000" w:rsidR="00000000" w:rsidRPr="00000000">
        <w:rPr>
          <w:sz w:val="24"/>
          <w:szCs w:val="24"/>
          <w:rtl w:val="0"/>
        </w:rPr>
        <w:t xml:space="preserve">  </w:t>
      </w:r>
    </w:p>
    <w:p w:rsidR="00000000" w:rsidDel="00000000" w:rsidP="00000000" w:rsidRDefault="00000000" w:rsidRPr="00000000" w14:paraId="00000007">
      <w:pPr>
        <w:keepLines w:val="1"/>
        <w:widowControl w:val="0"/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Lines w:val="1"/>
        <w:widowControl w:val="0"/>
        <w:spacing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Lines w:val="1"/>
        <w:widowControl w:val="0"/>
        <w:spacing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RESUMO</w:t>
      </w:r>
    </w:p>
    <w:p w:rsidR="00000000" w:rsidDel="00000000" w:rsidP="00000000" w:rsidRDefault="00000000" w:rsidRPr="00000000" w14:paraId="0000000A">
      <w:pPr>
        <w:keepLines w:val="1"/>
        <w:widowControl w:val="0"/>
        <w:spacing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Lines w:val="1"/>
        <w:widowControl w:val="0"/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Educação em Ciências constituiu-se sob a centralidade da ciência moderna ocidental, apresentada como forma universal e superior de conhecer, contribuindo para a subalternização de conhecimentos indígenas. Na escola, essa colonialidade pode ser reproduzida pela ausência desses conhecimentos nos currículos ou por sua inclusão folclorizada e subordinada à validação científica. A colonialidade designa a permanência das classificações raciais, culturais e epistêmicas produzidas pela experiência colonial </w:t>
      </w:r>
      <w:r w:rsidDel="00000000" w:rsidR="00000000" w:rsidRPr="00000000">
        <w:rPr>
          <w:sz w:val="24"/>
          <w:szCs w:val="24"/>
          <w:rtl w:val="0"/>
        </w:rPr>
        <w:t xml:space="preserve">(Quijano, 2005</w:t>
      </w:r>
      <w:r w:rsidDel="00000000" w:rsidR="00000000" w:rsidRPr="00000000">
        <w:rPr>
          <w:sz w:val="24"/>
          <w:szCs w:val="24"/>
          <w:rtl w:val="0"/>
        </w:rPr>
        <w:t xml:space="preserve">). Este trabalho objetiva refletir sobre as contribuições dos saberes ancestrais associados à pesca com o timbó entre os Kurâ-Bakairi para pedagogias decoloniais e processos interculturais de diálogo de saberes na Educação em Ciências, considerando as relações entre corpo, território, comunidade, ancestralidade e natureza.</w:t>
      </w:r>
    </w:p>
    <w:p w:rsidR="00000000" w:rsidDel="00000000" w:rsidP="00000000" w:rsidRDefault="00000000" w:rsidRPr="00000000" w14:paraId="0000000C">
      <w:pPr>
        <w:keepLines w:val="1"/>
        <w:widowControl w:val="0"/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Trata-se de reflexão teórico-interpretativa baseada em pesquisa qualitativa, descritiva e de perspectiva etnográfica, realizada junto ao povo Kurâ-Bakairi, na aldeia Aturua, em Paranatinga, Mato Grosso. Observações, análise documental e diálogos com um professor de Ciências Kurâ-Bakairi e uma representante da comunidade permitiram compreender potencialidades e desafios da abordagem da pesca no ensino de Ciências da Natureza (Lima-de-Jesus, 2019; Lima-de-Jesus; Lopes, 2021). Retomamos reflexivamente essa experiência à luz dos conceitos indicados. </w:t>
      </w:r>
    </w:p>
    <w:p w:rsidR="00000000" w:rsidDel="00000000" w:rsidP="00000000" w:rsidRDefault="00000000" w:rsidRPr="00000000" w14:paraId="0000000D">
      <w:pPr>
        <w:keepLines w:val="1"/>
        <w:widowControl w:val="0"/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pesca com o timbó é uma prática ancestral presente na vida, na memória e nas narrativas Kurâ-Bakairi. Envolve um cipó que, depois de preparado e macerado na água, libera substâncias que intoxicam temporariamente os peixes, possibilitando sua captura. Reduzi-la a esses procedimentos ou à explicação científica apagaria sua densidade epistemológica, territorial e cosmológica. A prática articula conhecimentos sobre plantas, peixes, águas e ciclos naturais às narrativas ancestrais, à memória coletiva e aos modos de ensinar, aprender e viver. O timbó integra também a mitologia Kurâ-Bakairi, evidenciando relações não restritas ao uso instrumental da natureza. </w:t>
      </w:r>
    </w:p>
    <w:p w:rsidR="00000000" w:rsidDel="00000000" w:rsidP="00000000" w:rsidRDefault="00000000" w:rsidRPr="00000000" w14:paraId="0000000E">
      <w:pPr>
        <w:keepLines w:val="1"/>
        <w:widowControl w:val="0"/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Propomos compreendê-la como tecnologia ancestral, superando concepções que associam tecnologia apenas a máquinas, processos industriais ou aplicações da ciência moderna. Para Vieira Pinto (2007), a técnica constitui uma dimensão da existência humana, e a tecnologia envolve a reflexão sobre técnicas historicamente produzidas. Essa leitura amplia o significado de tecnologia nas Ciências da Natureza ao reconhecer observação, experiência, participação comunitária, transmissão intergeracional e relações territorializadas. Questiona, ainda, a equivalência entre tecnologia, industrialização e progresso, evidenciando que as tecnologias incorporam valores, concepções de natureza e projetos de mundo. </w:t>
      </w:r>
    </w:p>
    <w:p w:rsidR="00000000" w:rsidDel="00000000" w:rsidP="00000000" w:rsidRDefault="00000000" w:rsidRPr="00000000" w14:paraId="0000000F">
      <w:pPr>
        <w:keepLines w:val="1"/>
        <w:widowControl w:val="0"/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noção de corpo-território evidencia que esses conhecimentos não são produzidos abstratamente. Cabnal (2010) compreende o corpo como primeiro território de existência, memória e resistência, vinculando a defesa do território-terra à dos corpos que nele vivem. Na pesca, os conhecimentos são atualizados nos corpos que percorrem o território, reconhecem o cipó, observam as águas, preparam o timbó, escutam os mais velhos e aprendem comunitariamente. Empregamos corpo-território como chave interpretativa em diálogo com pensamentos indígenas e decoloniais, não como categoria originariamente enunciada pelos Kurâ-Bakairi. Essa perspectiva tensiona separações modernas entre corpo e mente e humanidade e natureza, dialogando com Krenak (2020). Aproxima-se também do Bem Viver, horizonte que questiona a mercantilização da vida e a natureza como exterioridade explorável (Acosta, 2016), sem identificar diretamente a experiência Kurâ-Bakairi ao Buen Vivir andino, considerando a singularidade de cada povo. Dialoga, ainda, com a ecologia decolonial, que relaciona a crise ambiental às histórias do colonialismo, da escravização e da racialização (Ferdinand, 2022).</w:t>
      </w:r>
    </w:p>
    <w:p w:rsidR="00000000" w:rsidDel="00000000" w:rsidP="00000000" w:rsidRDefault="00000000" w:rsidRPr="00000000" w14:paraId="00000010">
      <w:pPr>
        <w:keepLines w:val="1"/>
        <w:widowControl w:val="0"/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prática revela modos de ensinar e aprender que antecedem e ultrapassam a escola: aprende-se pela oralidade, observação, escuta, participação, experiência corporal e convivência intergeracional. Esses processos oferecem referências para pedagogias decoloniais na Educação em Ciências. Não classificamos externamente a pesca como pedagogia decolonial formulada nesses termos pelos Kurâ-Bakairi; reconhecemos que seus modos de produzir e compartilhar conhecimentos deslocam nossas concepções de educação e ciência. Para Walsh (2013), essas pedagogias emergem das lutas, memórias e experiências de sujeitos subalternizados como práticas de resistência e reexistência, constituindo caminhos construídos desde e com os povos.</w:t>
      </w:r>
    </w:p>
    <w:p w:rsidR="00000000" w:rsidDel="00000000" w:rsidP="00000000" w:rsidRDefault="00000000" w:rsidRPr="00000000" w14:paraId="00000011">
      <w:pPr>
        <w:keepLines w:val="1"/>
        <w:widowControl w:val="0"/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Na Educação em Ciências, esse movimento requer superar a utilização de conhecimentos indígenas apenas como exemplos de conteúdos científicos. Quando os conhecimentos Kurâ-Bakairi são somente ponto de partida para chegar à ciência, esta permanece como critério final de verdade. O diálogo de saberes reconhece a legitimidade dos diferentes sistemas de conhecimento e as assimetrias presentes em seu encontro. A interculturalidade crítica problematiza as hierarquias raciais, culturais e epistêmicas (Walsh, 2012; 2013). Dialogar não significa justapor explicações ou subordinar conhecimentos indígenas ao currículo científico, mas construir relações interculturais e interepistêmicas.</w:t>
      </w:r>
    </w:p>
    <w:p w:rsidR="00000000" w:rsidDel="00000000" w:rsidP="00000000" w:rsidRDefault="00000000" w:rsidRPr="00000000" w14:paraId="00000012">
      <w:pPr>
        <w:keepLines w:val="1"/>
        <w:widowControl w:val="0"/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Essa perspectiva pode contribuir para a efetivação da Lei nº 11.645/2008, que estabelece o estudo da história e da cultura afro-brasileira e indígena em todo o currículo escolar </w:t>
      </w:r>
      <w:r w:rsidDel="00000000" w:rsidR="00000000" w:rsidRPr="00000000">
        <w:rPr>
          <w:sz w:val="24"/>
          <w:szCs w:val="24"/>
          <w:rtl w:val="0"/>
        </w:rPr>
        <w:t xml:space="preserve">(Brasil, 2008)</w:t>
      </w:r>
      <w:r w:rsidDel="00000000" w:rsidR="00000000" w:rsidRPr="00000000">
        <w:rPr>
          <w:sz w:val="24"/>
          <w:szCs w:val="24"/>
          <w:rtl w:val="0"/>
        </w:rPr>
        <w:t xml:space="preserve">. Em Ciências e Biologia, sua implementação não deve se limitar a conteúdos pontuais, mas reconhecer conhecimentos, tecnologias, culturas e relações indígenas com os territórios. A pesca com o timbó permite problematizar estereótipos, reconhecer os Kurâ-Bakairi como produtores de conhecimentos e ampliar as compreensões de ciência, tecnologia e natureza.</w:t>
      </w:r>
    </w:p>
    <w:p w:rsidR="00000000" w:rsidDel="00000000" w:rsidP="00000000" w:rsidRDefault="00000000" w:rsidRPr="00000000" w14:paraId="00000013">
      <w:pPr>
        <w:keepLines w:val="1"/>
        <w:widowControl w:val="0"/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Concluímos que a pesca com o timbó, compreendida como tecnologia ancestral e prática epistêmica territorializada, amplia os horizontes epistemológicos, éticos e pedagógicos da Educação em Ciências. Na formação docente, essa perspectiva demanda reconhecer as colonialidades dos currículos, problematizar concepções reducionistas de ciência e tecnologia e construir práticas baseadas na escuta, na reciprocidade e na justiça epistêmica. O diálogo de saberes emerge como horizonte para uma Educação em Ciências capaz de aprender com outras epistemologias, racionalidades e maneiras de habitar os territórios.</w:t>
      </w:r>
    </w:p>
    <w:p w:rsidR="00000000" w:rsidDel="00000000" w:rsidP="00000000" w:rsidRDefault="00000000" w:rsidRPr="00000000" w14:paraId="00000014">
      <w:pPr>
        <w:keepLines w:val="1"/>
        <w:widowControl w:val="0"/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Lines w:val="1"/>
        <w:widowControl w:val="0"/>
        <w:spacing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PALAVRAS-CHAVE</w:t>
      </w:r>
    </w:p>
    <w:p w:rsidR="00000000" w:rsidDel="00000000" w:rsidP="00000000" w:rsidRDefault="00000000" w:rsidRPr="00000000" w14:paraId="00000016">
      <w:pPr>
        <w:keepLines w:val="1"/>
        <w:widowControl w:val="0"/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Saberes tradicionais; Bem-viver; Pedagogias decoloniais; Diálogos interculturais; Ensino de Ciências. </w:t>
      </w:r>
    </w:p>
    <w:p w:rsidR="00000000" w:rsidDel="00000000" w:rsidP="00000000" w:rsidRDefault="00000000" w:rsidRPr="00000000" w14:paraId="00000017">
      <w:pPr>
        <w:keepLines w:val="1"/>
        <w:widowControl w:val="0"/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Lines w:val="1"/>
        <w:widowControl w:val="0"/>
        <w:spacing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Lines w:val="1"/>
        <w:widowControl w:val="0"/>
        <w:spacing w:lin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REFERÊNCIAS</w:t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A">
      <w:pPr>
        <w:keepLines w:val="1"/>
        <w:widowControl w:val="0"/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ACOSTA, Alberto.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 bem viver: </w:t>
      </w:r>
      <w:r w:rsidDel="00000000" w:rsidR="00000000" w:rsidRPr="00000000">
        <w:rPr>
          <w:sz w:val="24"/>
          <w:szCs w:val="24"/>
          <w:rtl w:val="0"/>
        </w:rPr>
        <w:t xml:space="preserve">uma oportunidade para imaginar outros mundos. São Paulo: Autonomia Literária; Elefante, 2016.</w:t>
      </w:r>
    </w:p>
    <w:p w:rsidR="00000000" w:rsidDel="00000000" w:rsidP="00000000" w:rsidRDefault="00000000" w:rsidRPr="00000000" w14:paraId="0000001B">
      <w:pPr>
        <w:keepLines w:val="1"/>
        <w:widowControl w:val="0"/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BRASIL.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Lei nº 11.645 de 10 de março de 2008</w:t>
      </w:r>
      <w:r w:rsidDel="00000000" w:rsidR="00000000" w:rsidRPr="00000000">
        <w:rPr>
          <w:sz w:val="24"/>
          <w:szCs w:val="24"/>
          <w:rtl w:val="0"/>
        </w:rPr>
        <w:t xml:space="preserve">. Inclui no currículo oficial da rede de ensino a obrigatoriedade da temática “História e Cultura Afro Brasileira e Indígena”. Disponível em: http://www.planalto.gov.br/ccivil_03/_Ato2007-2010/2008/Lei/L11645.htm. Acesso em: 14 ago. 2026.</w:t>
      </w:r>
    </w:p>
    <w:p w:rsidR="00000000" w:rsidDel="00000000" w:rsidP="00000000" w:rsidRDefault="00000000" w:rsidRPr="00000000" w14:paraId="0000001C">
      <w:pPr>
        <w:keepLines w:val="1"/>
        <w:widowControl w:val="0"/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CABNAL, Lorena, “Acercamiento a la construcción de la propuesta de pensamiento epistémico de las mujeres indígenas feministas comunitarias de Abya Yala”. In: LAS SEGOVIAS.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Feminismos diversos: el feminismo comunitario</w:t>
      </w:r>
      <w:r w:rsidDel="00000000" w:rsidR="00000000" w:rsidRPr="00000000">
        <w:rPr>
          <w:sz w:val="24"/>
          <w:szCs w:val="24"/>
          <w:rtl w:val="0"/>
        </w:rPr>
        <w:t xml:space="preserve"> [online]. ACSUR, 2010. Disponível em https://porunavidavivible.files.wordpress.com/2012/09/feminismos-comunitario-lorena-cabnal.pdf. Acceso 14 ago. 2026.</w:t>
      </w:r>
    </w:p>
    <w:p w:rsidR="00000000" w:rsidDel="00000000" w:rsidP="00000000" w:rsidRDefault="00000000" w:rsidRPr="00000000" w14:paraId="0000001D">
      <w:pPr>
        <w:keepLines w:val="1"/>
        <w:widowControl w:val="0"/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FERDINAND, Malcom.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Uma ecologia decolonial:</w:t>
      </w:r>
      <w:r w:rsidDel="00000000" w:rsidR="00000000" w:rsidRPr="00000000">
        <w:rPr>
          <w:sz w:val="24"/>
          <w:szCs w:val="24"/>
          <w:rtl w:val="0"/>
        </w:rPr>
        <w:t xml:space="preserve"> pensar a partir do mundo caribenho. Tradução de Letícia Mei. São Paulo: Ubu Editora, 2022.</w:t>
      </w:r>
    </w:p>
    <w:p w:rsidR="00000000" w:rsidDel="00000000" w:rsidP="00000000" w:rsidRDefault="00000000" w:rsidRPr="00000000" w14:paraId="0000001E">
      <w:pPr>
        <w:keepLines w:val="1"/>
        <w:widowControl w:val="0"/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LIMA-DE-JESUS, Yasmin.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Potencialidades e desafios ao ensino de Ciências em uma escola indígena Kurâ-Bakairi a partir da pesca com o timbó: perspectivas intercultural e decolonial.</w:t>
      </w:r>
      <w:r w:rsidDel="00000000" w:rsidR="00000000" w:rsidRPr="00000000">
        <w:rPr>
          <w:sz w:val="24"/>
          <w:szCs w:val="24"/>
          <w:rtl w:val="0"/>
        </w:rPr>
        <w:t xml:space="preserve"> 2019. 160 f. Dissertação (Mestrado em Ensino de Ciências e Matemática) – Universidade Federal de Sergipe, São Cristóvão, 2019.</w:t>
      </w:r>
    </w:p>
    <w:p w:rsidR="00000000" w:rsidDel="00000000" w:rsidP="00000000" w:rsidRDefault="00000000" w:rsidRPr="00000000" w14:paraId="0000001F">
      <w:pPr>
        <w:keepLines w:val="1"/>
        <w:widowControl w:val="0"/>
        <w:spacing w:after="240" w:before="240" w:line="240" w:lineRule="auto"/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sz w:val="24"/>
          <w:szCs w:val="24"/>
          <w:rtl w:val="0"/>
        </w:rPr>
        <w:t xml:space="preserve">LIMA-DE-JESUS, Yasmin; LOPES, Edinéia Tavares. Ensino de Ciências, interculturalidade e decolonialidade: possibilidades e desafios a partir da pesca com o timbó.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Perspectiva</w:t>
      </w:r>
      <w:r w:rsidDel="00000000" w:rsidR="00000000" w:rsidRPr="00000000">
        <w:rPr>
          <w:sz w:val="24"/>
          <w:szCs w:val="24"/>
          <w:rtl w:val="0"/>
        </w:rPr>
        <w:t xml:space="preserve">, Florianópolis, v. 39, n. 2, p. 1–21, 2021. Disponível em: https://periodicos.ufsc.br/index.php/perspectiva/article/view/66708. Acesso 13 ago. 2026.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Lines w:val="1"/>
        <w:widowControl w:val="0"/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KRENAK, Ailton.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Ideias para adiar o fim do mundo.</w:t>
      </w:r>
      <w:r w:rsidDel="00000000" w:rsidR="00000000" w:rsidRPr="00000000">
        <w:rPr>
          <w:sz w:val="24"/>
          <w:szCs w:val="24"/>
          <w:rtl w:val="0"/>
        </w:rPr>
        <w:t xml:space="preserve"> São Paulo: Companhia das Letras, 2020.</w:t>
      </w:r>
    </w:p>
    <w:p w:rsidR="00000000" w:rsidDel="00000000" w:rsidP="00000000" w:rsidRDefault="00000000" w:rsidRPr="00000000" w14:paraId="00000021">
      <w:pPr>
        <w:keepLines w:val="1"/>
        <w:widowControl w:val="0"/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QUIJANO, Aníbal. Colonialidade do poder, eurocentrismo e América Latina. In: LANDER, Edgardo (org.).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A colonialidade do saber:</w:t>
      </w:r>
      <w:r w:rsidDel="00000000" w:rsidR="00000000" w:rsidRPr="00000000">
        <w:rPr>
          <w:sz w:val="24"/>
          <w:szCs w:val="24"/>
          <w:rtl w:val="0"/>
        </w:rPr>
        <w:t xml:space="preserve"> eurocentrismo e ciências sociais. Buenos Aires: CLACSO, 2005. p. 117-142.</w:t>
      </w:r>
    </w:p>
    <w:p w:rsidR="00000000" w:rsidDel="00000000" w:rsidP="00000000" w:rsidRDefault="00000000" w:rsidRPr="00000000" w14:paraId="00000022">
      <w:pPr>
        <w:keepLines w:val="1"/>
        <w:widowControl w:val="0"/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PINTO, Álvaro Vieira.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 conceito de tecnologia. </w:t>
      </w:r>
      <w:r w:rsidDel="00000000" w:rsidR="00000000" w:rsidRPr="00000000">
        <w:rPr>
          <w:sz w:val="24"/>
          <w:szCs w:val="24"/>
          <w:rtl w:val="0"/>
        </w:rPr>
        <w:t xml:space="preserve">1. ed. Rio de Janeiro: Contraponto, 2007. v. 2.</w:t>
      </w:r>
    </w:p>
    <w:p w:rsidR="00000000" w:rsidDel="00000000" w:rsidP="00000000" w:rsidRDefault="00000000" w:rsidRPr="00000000" w14:paraId="00000023">
      <w:pPr>
        <w:keepLines w:val="1"/>
        <w:widowControl w:val="0"/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WALSH, Catherine. Interculturalidad y (de)colonialidad: Perspectivas críticas y políticas.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Visão Global</w:t>
      </w:r>
      <w:r w:rsidDel="00000000" w:rsidR="00000000" w:rsidRPr="00000000">
        <w:rPr>
          <w:sz w:val="24"/>
          <w:szCs w:val="24"/>
          <w:rtl w:val="0"/>
        </w:rPr>
        <w:t xml:space="preserve">, Joaçaba, v. 15, n. 1-2, p. 61-74, jan./dez. 2012. Disponível em: https://bit.ly/3kvlcyC. Acesso em: 14 ago. 2026.</w:t>
      </w:r>
    </w:p>
    <w:p w:rsidR="00000000" w:rsidDel="00000000" w:rsidP="00000000" w:rsidRDefault="00000000" w:rsidRPr="00000000" w14:paraId="00000024">
      <w:pPr>
        <w:keepLines w:val="1"/>
        <w:widowControl w:val="0"/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WALSH, Catherine (Ed.).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Pedagogías decoloniales:</w:t>
      </w:r>
      <w:r w:rsidDel="00000000" w:rsidR="00000000" w:rsidRPr="00000000">
        <w:rPr>
          <w:sz w:val="24"/>
          <w:szCs w:val="24"/>
          <w:rtl w:val="0"/>
        </w:rPr>
        <w:t xml:space="preserve"> prácticas insurgentes de resistir, (re)existir y (re)vivir. Tomo I. Quito: Abya-Yala, 2013.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20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footerReference r:id="rId11" w:type="firs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C">
    <w:pPr>
      <w:jc w:val="center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D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7">
    <w:pPr>
      <w:jc w:val="right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5000625</wp:posOffset>
          </wp:positionH>
          <wp:positionV relativeFrom="paragraph">
            <wp:posOffset>8886825</wp:posOffset>
          </wp:positionV>
          <wp:extent cx="1700213" cy="1700213"/>
          <wp:effectExtent b="0" l="0" r="0" t="0"/>
          <wp:wrapNone/>
          <wp:docPr id="10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700213" cy="1700213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5791200</wp:posOffset>
          </wp:positionH>
          <wp:positionV relativeFrom="paragraph">
            <wp:posOffset>-304796</wp:posOffset>
          </wp:positionV>
          <wp:extent cx="664882" cy="762000"/>
          <wp:effectExtent b="0" l="0" r="0" t="0"/>
          <wp:wrapNone/>
          <wp:docPr id="11" name="image3.png"/>
          <a:graphic>
            <a:graphicData uri="http://schemas.openxmlformats.org/drawingml/2006/picture">
              <pic:pic>
                <pic:nvPicPr>
                  <pic:cNvPr id="0" name="image3.png"/>
                  <pic:cNvPicPr preferRelativeResize="0"/>
                </pic:nvPicPr>
                <pic:blipFill>
                  <a:blip r:embed="rId2"/>
                  <a:srcRect b="235" l="0" r="0" t="235"/>
                  <a:stretch>
                    <a:fillRect/>
                  </a:stretch>
                </pic:blipFill>
                <pic:spPr>
                  <a:xfrm>
                    <a:off x="0" y="0"/>
                    <a:ext cx="664882" cy="76200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28">
    <w:pPr>
      <w:jc w:val="right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9">
    <w:pPr>
      <w:jc w:val="right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A">
    <w:pPr>
      <w:jc w:val="left"/>
      <w:rPr/>
    </w:pPr>
    <w:r w:rsidDel="00000000" w:rsidR="00000000" w:rsidRPr="00000000">
      <w:rPr/>
      <w:drawing>
        <wp:anchor allowOverlap="1" behindDoc="1" distB="0" distT="0" distL="0" distR="0" hidden="0" layoutInCell="1" locked="0" relativeHeight="0" simplePos="0">
          <wp:simplePos x="0" y="0"/>
          <wp:positionH relativeFrom="page">
            <wp:posOffset>0</wp:posOffset>
          </wp:positionH>
          <wp:positionV relativeFrom="page">
            <wp:posOffset>-5711</wp:posOffset>
          </wp:positionV>
          <wp:extent cx="416339" cy="10716578"/>
          <wp:effectExtent b="0" l="0" r="0" t="0"/>
          <wp:wrapNone/>
          <wp:docPr id="1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3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416339" cy="10716578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B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2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mailto:yasminlima.jly@gmail.com" TargetMode="External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3.png"/><Relationship Id="rId3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p69MO6sxfVLCd09VZV37nYtT2hA==">CgMxLjA4AHIhMUhWV2FpMXY5a3oyVkIySng3bW9FbnpERXV5SzlmTTh6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