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40" w:line="240" w:lineRule="auto"/>
        <w:jc w:val="center"/>
      </w:pPr>
      <w:r>
        <w:rPr>
          <w:rFonts w:ascii="Arial" w:hAnsi="Arial" w:eastAsia="Arial"/>
          <w:b/>
          <w:sz w:val="24"/>
        </w:rPr>
        <w:t>[INSERIR NOME DO CONVERSATÓRIO]</w:t>
      </w:r>
    </w:p>
    <w:p>
      <w:pPr>
        <w:spacing w:before="360" w:after="240" w:line="240" w:lineRule="auto"/>
        <w:jc w:val="center"/>
      </w:pPr>
      <w:r>
        <w:rPr>
          <w:rFonts w:ascii="Arial" w:hAnsi="Arial" w:eastAsia="Arial"/>
          <w:b/>
          <w:sz w:val="24"/>
        </w:rPr>
        <w:t>Entre a norma e a narrativa: análise discursiva da maternidade universitária nas políticas materno-parentais da UnB e da UFOPA</w:t>
      </w:r>
    </w:p>
    <w:p>
      <w:pPr>
        <w:spacing w:before="0" w:after="360" w:line="240" w:lineRule="auto"/>
        <w:jc w:val="right"/>
      </w:pPr>
      <w:r>
        <w:rPr>
          <w:rFonts w:ascii="Arial" w:hAnsi="Arial" w:eastAsia="Arial"/>
          <w:b w:val="0"/>
          <w:sz w:val="22"/>
        </w:rPr>
        <w:t>Brenda Gonçalves dos Reis, Universidade de Brasília (UnB), brendaknutsen@gmail.com</w:t>
      </w:r>
    </w:p>
    <w:p>
      <w:pPr>
        <w:spacing w:before="240" w:after="240" w:line="240" w:lineRule="auto"/>
        <w:jc w:val="left"/>
      </w:pPr>
      <w:r>
        <w:rPr>
          <w:rFonts w:ascii="Arial" w:hAnsi="Arial" w:eastAsia="Arial"/>
          <w:b/>
          <w:sz w:val="24"/>
        </w:rPr>
        <w:t>RESUMO</w:t>
      </w:r>
    </w:p>
    <w:p>
      <w:pPr>
        <w:spacing w:before="0" w:after="120" w:line="360" w:lineRule="auto"/>
        <w:jc w:val="both"/>
      </w:pPr>
      <w:r>
        <w:rPr>
          <w:rFonts w:ascii="Arial" w:hAnsi="Arial" w:eastAsia="Arial"/>
          <w:b w:val="0"/>
          <w:sz w:val="24"/>
        </w:rPr>
        <w:t>Este resumo expandido apresenta um recorte de pesquisa de mestrado em Linguística, situado na Análise de Discurso Crítica, cujo objetivo é investigar como a maternidade universitária é produzida, regulada e disputada em políticas institucionais brasileiras. O estudo parte da compreensão de que a mãe universitária não aparece nos documentos oficiais como sujeito dado, estável ou previamente reconhecido; ao contrário, ela é construída discursivamente em meio a regimes de nomeação, silenciamento, assistência, permanência e controle. A pesquisa toma como corpus central a Resolução CAD nº 0023/2024, que regulamenta a Política Materna e Parental da Universidade de Brasília, e a coloca em confronto analítico com a Resolução CONSUN nº 327/2025, que aprova a Política Materna e Parental da Universidade Federal do Oeste do Pará. A escolha desse embate se justifica porque, entre os documentos analisados no mapeamento nacional da pesquisa, a UFOPA apresenta a política mais próxima da UnB, tanto no desenho institucional quanto no vocabulário materno-parental mobilizado. Ambas deslocam a maternidade do campo da exceção, da licença e da assistência pontual para o campo de uma política institucional ampla, vinculada à permanência, à equidade, à produção de dados, à infraestrutura e à corresponsabilização universitária.</w:t>
      </w:r>
    </w:p>
    <w:p>
      <w:pPr>
        <w:spacing w:before="0" w:after="120" w:line="360" w:lineRule="auto"/>
        <w:jc w:val="both"/>
      </w:pPr>
      <w:r>
        <w:rPr>
          <w:rFonts w:ascii="Arial" w:hAnsi="Arial" w:eastAsia="Arial"/>
          <w:b w:val="0"/>
          <w:sz w:val="24"/>
        </w:rPr>
        <w:t>A fundamentação teórico-metodológica apoia-se na Teoria Social do Discurso e na Análise de Discurso Crítica, especialmente em Chouliaraki e Fairclough (1999) e Fairclough (2003). Nessa perspectiva, os textos são compreendidos como parte de eventos sociais, e não como peças normativas isoladas. A resolução universitária é tomada, portanto, como prática discursiva e prática social: ao mesmo tempo em que registra uma conquista institucional, também estabiliza categorias, define sujeitos, distribui responsabilidades e delimita o que pode ser reconhecido como demanda legítima. O estudo aciona, de modo específico, a categoria de significado representacional, entendida como a dimensão textual pela qual aspectos do mundo social são representados. A análise observa quais participantes são nomeados, quais processos são atribuídos à universidade, quais circunstâncias tornam a maternidade visível e quais apagamentos permanecem mesmo em documentos orientados à proteção de direitos. Essa perspectiva permite perguntar não apenas o que a política garante, mas que maternidade ela torna dizível e administrável.</w:t>
      </w:r>
    </w:p>
    <w:p>
      <w:pPr>
        <w:spacing w:before="0" w:after="120" w:line="360" w:lineRule="auto"/>
        <w:jc w:val="both"/>
      </w:pPr>
      <w:r>
        <w:rPr>
          <w:rFonts w:ascii="Arial" w:hAnsi="Arial" w:eastAsia="Arial"/>
          <w:b w:val="0"/>
          <w:sz w:val="24"/>
        </w:rPr>
        <w:t>A análise mostra que a política da UnB deve ser reconhecida como marco discursivo relevante no processo de institucionalização da maternidade universitária. Ao definir a maternidade como ato de maternar, exercício de cuidado e experiência social, política e cultural, a resolução rompe com uma tradição normativa que historicamente reduziu a presença materna no espaço educacional à figura da estudante gestante em regime excepcional. A UnB amplia o âmbito da política para espaços físicos e virtuais da instituição, articula maternidade e parentalidade à permanência acadêmica e profissional, prevê ações de apoio, comunicação, infraestrutura, saúde mental, dados institucionais e acompanhamento permanente. Além disso, a mobilização coletiva de mães universitárias no processo político de formulação permite compreender o documento não como concessão administrativa espontânea, mas como resultado de disputa discursiva: a política do discurso das mães atravessa o discurso da política institucional.</w:t>
      </w:r>
    </w:p>
    <w:p>
      <w:pPr>
        <w:spacing w:before="0" w:after="120" w:line="360" w:lineRule="auto"/>
        <w:jc w:val="both"/>
      </w:pPr>
      <w:r>
        <w:rPr>
          <w:rFonts w:ascii="Arial" w:hAnsi="Arial" w:eastAsia="Arial"/>
          <w:b w:val="0"/>
          <w:sz w:val="24"/>
        </w:rPr>
        <w:t>Entretanto, a leitura crítica evidencia limites representacionais. A política da UnB inclui mães, pais e responsáveis legais como sujeitos da ação institucional, o que amplia a noção de cuidado e evita restringi-lo biologicamente às mulheres. Contudo, essa amplitude também pode produzir certa generalização da experiência materna, reduzindo a saliência das desigualdades que atravessam diferentes maternidades. O texto menciona equidade, direitos humanos, diversidade étnico-racial, sexual, etária e acessibilidade, mas não desenvolve de forma direta categorias como mães negras, indígenas, quilombolas, solo, com deficiência, mães de crianças com deficiência, trabalhadoras terceirizadas, periféricas ou sem rede de apoio. Pela chave do significado representacional, essas ausências não significam inexistência jurídica do direito, mas indicam apagamentos relativos no modo como a maternidade é textualizada. A mãe aparece como sujeito de direito, mas nem sempre aparece em sua diferenciação social, territorial, racial, econômica e corporal.</w:t>
      </w:r>
    </w:p>
    <w:p>
      <w:pPr>
        <w:spacing w:before="0" w:after="120" w:line="360" w:lineRule="auto"/>
        <w:jc w:val="both"/>
      </w:pPr>
      <w:r>
        <w:rPr>
          <w:rFonts w:ascii="Arial" w:hAnsi="Arial" w:eastAsia="Arial"/>
          <w:b w:val="0"/>
          <w:sz w:val="24"/>
        </w:rPr>
        <w:t>A política da UFOPA aproxima-se da UnB e, ao mesmo tempo, tensiona suas limitações. A resolução define a Política Materna e Parental como conjunto de medidas voltadas ao apoio, à inclusão e à permanência de estudantes e servidoras mães, pais e responsáveis legais de crianças e adolescentes, incluindo ainda docentes, técnicas(os) administrativas(os) e terceirizadas(os). O documento também define maternidade como construção social, política e cultural, mas densifica a representação ao nomear ações afirmativas, desigualdade de gênero, equidade, monoparentalidade, parentalidade atípica e interseccionalidades de gênero, raça, classe, deficiência e território. Essa diferença é discursivamente significativa: enquanto a UnB inaugura uma gramática institucional potente de reconhecimento materno-parental, a UFOPA amplia tal gramática por meio de uma nomeação mais interseccional e territorializada. Ao mencionar o contexto amazônico, os marcadores sociais da diferença e a parentalidade atípica, a UFOPA explicita que não há maternidade universitária abstrata, mas experiências de cuidado atravessadas por condições materiais desiguais.</w:t>
      </w:r>
    </w:p>
    <w:p>
      <w:pPr>
        <w:spacing w:before="0" w:after="120" w:line="360" w:lineRule="auto"/>
        <w:jc w:val="both"/>
      </w:pPr>
      <w:r>
        <w:rPr>
          <w:rFonts w:ascii="Arial" w:hAnsi="Arial" w:eastAsia="Arial"/>
          <w:b w:val="0"/>
          <w:sz w:val="24"/>
        </w:rPr>
        <w:t>O embate entre as duas políticas permite sustentar que a institucionalização da maternidade universitária é simultaneamente conquista e campo de disputa. A norma é necessária porque retira a maternidade da informalidade, da negociação individual e da boa vontade de docentes, chefias ou setores administrativos. No entanto, a norma também transforma a experiência materna em objeto de gestão, submetendo-a a categorias, critérios, comprovações, fluxos e disponibilidade orçamentária. A UnB abre um campo institucional decisivo ao reconhecer a maternidade e a parentalidade como questão universitária ampla; a UFOPA funciona como espelho crítico ao mostrar que esse reconhecimento pode ser aprofundado por uma nomeação mais explícita das desigualdades. Assim, a contribuição do estudo está em demonstrar que políticas materno-parentais não apenas garantem direitos: elas produzem discursivamente as mães que pretendem proteger. Entre a norma e a narrativa, entre a resolução e a experiência, entre a instituição e o corpo que cuida, a maternidade universitária aparece como arena discursiva em movimento, na qual reconhecimento, regulação e resistência se entrelaçam.</w:t>
      </w:r>
    </w:p>
    <w:p>
      <w:pPr>
        <w:spacing w:before="240" w:after="120" w:line="240" w:lineRule="auto"/>
        <w:jc w:val="left"/>
      </w:pPr>
      <w:r>
        <w:rPr>
          <w:rFonts w:ascii="Arial" w:hAnsi="Arial" w:eastAsia="Arial"/>
          <w:b/>
          <w:sz w:val="24"/>
        </w:rPr>
        <w:t>PALAVRAS-CHAVE</w:t>
      </w:r>
    </w:p>
    <w:p>
      <w:pPr>
        <w:spacing w:before="0" w:after="240" w:line="240" w:lineRule="auto"/>
        <w:jc w:val="both"/>
      </w:pPr>
      <w:r>
        <w:rPr>
          <w:rFonts w:ascii="Arial" w:hAnsi="Arial" w:eastAsia="Arial"/>
          <w:b w:val="0"/>
          <w:sz w:val="22"/>
        </w:rPr>
        <w:t>Maternidade universitária; Análise de Discurso Crítica; políticas materno-parentais; permanência acadêmica; significado representacional.</w:t>
      </w:r>
    </w:p>
    <w:p>
      <w:pPr>
        <w:spacing w:before="120" w:after="120" w:line="240" w:lineRule="auto"/>
        <w:jc w:val="left"/>
      </w:pPr>
      <w:r>
        <w:rPr>
          <w:rFonts w:ascii="Arial" w:hAnsi="Arial" w:eastAsia="Arial"/>
          <w:b/>
          <w:sz w:val="24"/>
        </w:rPr>
        <w:t>REFERÊNCIAS</w:t>
      </w:r>
    </w:p>
    <w:p>
      <w:pPr>
        <w:spacing w:before="0" w:after="120" w:line="240" w:lineRule="auto"/>
        <w:jc w:val="both"/>
      </w:pPr>
      <w:r>
        <w:rPr>
          <w:rFonts w:ascii="Arial" w:hAnsi="Arial" w:eastAsia="Arial"/>
          <w:b w:val="0"/>
          <w:sz w:val="22"/>
        </w:rPr>
        <w:t>CHOULIARAKI, Lilie; FAIRCLOUGH, Norman. Discourse in late modernity: rethinking critical discourse analysis. Edinburgh: Edinburgh University Press, 1999.</w:t>
      </w:r>
    </w:p>
    <w:p>
      <w:pPr>
        <w:spacing w:before="0" w:after="120" w:line="240" w:lineRule="auto"/>
        <w:jc w:val="both"/>
      </w:pPr>
      <w:r>
        <w:rPr>
          <w:rFonts w:ascii="Arial" w:hAnsi="Arial" w:eastAsia="Arial"/>
          <w:b w:val="0"/>
          <w:sz w:val="22"/>
        </w:rPr>
        <w:t>FAIRCLOUGH, Norman. Analysing discourse: textual analysis for social research. London: Routledge, 2003.</w:t>
      </w:r>
    </w:p>
    <w:p>
      <w:pPr>
        <w:spacing w:before="0" w:after="120" w:line="240" w:lineRule="auto"/>
        <w:jc w:val="both"/>
      </w:pPr>
      <w:r>
        <w:rPr>
          <w:rFonts w:ascii="Arial" w:hAnsi="Arial" w:eastAsia="Arial"/>
          <w:b w:val="0"/>
          <w:sz w:val="22"/>
        </w:rPr>
        <w:t>FAIRCLOUGH, Norman. Discurso e mudança social. Brasília: Editora Universidade de Brasília, 2001.</w:t>
      </w:r>
    </w:p>
    <w:p>
      <w:pPr>
        <w:spacing w:before="0" w:after="120" w:line="240" w:lineRule="auto"/>
        <w:jc w:val="both"/>
      </w:pPr>
      <w:r>
        <w:rPr>
          <w:rFonts w:ascii="Arial" w:hAnsi="Arial" w:eastAsia="Arial"/>
          <w:b w:val="0"/>
          <w:sz w:val="22"/>
        </w:rPr>
        <w:t>UNIVERSIDADE DE BRASÍLIA. Conselho de Administração. Resolução CAD nº 0023/2024. Regulamenta a Política Materna e Parental da Universidade de Brasília. Brasília: UnB, 2024.</w:t>
      </w:r>
    </w:p>
    <w:p>
      <w:pPr>
        <w:spacing w:before="0" w:after="120" w:line="240" w:lineRule="auto"/>
        <w:jc w:val="both"/>
      </w:pPr>
      <w:r>
        <w:rPr>
          <w:rFonts w:ascii="Arial" w:hAnsi="Arial" w:eastAsia="Arial"/>
          <w:b w:val="0"/>
          <w:sz w:val="22"/>
        </w:rPr>
        <w:t>UNIVERSIDADE FEDERAL DO OESTE DO PARÁ. Conselho Universitário. Resolução CONSUN nº 327, de 10 de dezembro de 2025. Aprova a Política Materna e Parental da Universidade Federal do Oeste do Pará. Santarém: UFOPA, 2025.</w:t>
      </w:r>
    </w:p>
    <w:sectPr>
      <w:headerReference r:id="rId6" w:type="default"/>
      <w:headerReference r:id="rId7" w:type="first"/>
      <w:footerReference r:id="rId8" w:type="default"/>
      <w:footerReference r:id="rId9" w:type="first"/>
      <w:pgSz w:h="16834" w:w="11909"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jc w:val="right"/>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5000625</wp:posOffset>
          </wp:positionH>
          <wp:positionV relativeFrom="paragraph">
            <wp:posOffset>8886825</wp:posOffset>
          </wp:positionV>
          <wp:extent cx="1700213" cy="1700213"/>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00213" cy="1700213"/>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5791200</wp:posOffset>
          </wp:positionH>
          <wp:positionV relativeFrom="paragraph">
            <wp:posOffset>-304799</wp:posOffset>
          </wp:positionV>
          <wp:extent cx="664882" cy="762000"/>
          <wp:effectExtent b="0" l="0" r="0" t="0"/>
          <wp:wrapNone/>
          <wp:docPr id="2" name="image3.png"/>
          <a:graphic>
            <a:graphicData uri="http://schemas.openxmlformats.org/drawingml/2006/picture">
              <pic:pic>
                <pic:nvPicPr>
                  <pic:cNvPr id="0" name="image3.png"/>
                  <pic:cNvPicPr preferRelativeResize="0"/>
                </pic:nvPicPr>
                <pic:blipFill>
                  <a:blip r:embed="rId2"/>
                  <a:srcRect b="235" l="0" r="0" t="235"/>
                  <a:stretch>
                    <a:fillRect/>
                  </a:stretch>
                </pic:blipFill>
                <pic:spPr>
                  <a:xfrm>
                    <a:off x="0" y="0"/>
                    <a:ext cx="664882" cy="762000"/>
                  </a:xfrm>
                  <a:prstGeom prst="rect"/>
                  <a:ln/>
                </pic:spPr>
              </pic:pic>
            </a:graphicData>
          </a:graphic>
        </wp:anchor>
      </w:drawing>
    </w:r>
  </w:p>
  <w:p w:rsidR="00000000" w:rsidDel="00000000" w:rsidP="00000000" w:rsidRDefault="00000000" w:rsidRPr="00000000" w14:paraId="00000031">
    <w:pPr>
      <w:jc w:val="right"/>
      <w:rPr/>
    </w:pPr>
    <w:r w:rsidDel="00000000" w:rsidR="00000000" w:rsidRPr="00000000">
      <w:rPr>
        <w:rtl w:val="0"/>
      </w:rPr>
    </w:r>
  </w:p>
  <w:p w:rsidR="00000000" w:rsidDel="00000000" w:rsidP="00000000" w:rsidRDefault="00000000" w:rsidRPr="00000000" w14:paraId="00000032">
    <w:pPr>
      <w:jc w:val="right"/>
      <w:rPr/>
    </w:pPr>
    <w:r w:rsidDel="00000000" w:rsidR="00000000" w:rsidRPr="00000000">
      <w:rPr>
        <w:rtl w:val="0"/>
      </w:rPr>
    </w:r>
  </w:p>
  <w:p w:rsidR="00000000" w:rsidDel="00000000" w:rsidP="00000000" w:rsidRDefault="00000000" w:rsidRPr="00000000" w14:paraId="00000033">
    <w:pPr>
      <w:jc w:val="left"/>
      <w:rPr/>
    </w:pPr>
    <w:r w:rsidDel="00000000" w:rsidR="00000000" w:rsidRPr="00000000">
      <w:rPr/>
      <w:drawing>
        <wp:anchor allowOverlap="1" behindDoc="1" distB="114300" distT="114300" distL="114300" distR="114300" hidden="0" layoutInCell="1" locked="0" relativeHeight="0" simplePos="0">
          <wp:simplePos x="0" y="0"/>
          <wp:positionH relativeFrom="page">
            <wp:posOffset>0</wp:posOffset>
          </wp:positionH>
          <wp:positionV relativeFrom="page">
            <wp:posOffset>-5714</wp:posOffset>
          </wp:positionV>
          <wp:extent cx="416339" cy="10716578"/>
          <wp:effectExtent b="0" l="0" r="0" t="0"/>
          <wp:wrapNone/>
          <wp:docPr id="3"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416339" cy="10716578"/>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Arial" w:hAnsi="Arial" w:eastAsia="Arial"/>
      <w:sz w:val="24"/>
    </w:rPr>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