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9F2B" w14:textId="6B2C6555" w:rsidR="0049516E" w:rsidRDefault="005E490A" w:rsidP="005E490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BEM COMUM COMO PRÁTICA E HORIZONTE POLÍTICO DE POVOS INDÍGENAS, QUILOMBOLAS E COMUNIDADES TRADICIONAIS</w:t>
      </w:r>
    </w:p>
    <w:p w14:paraId="363D2384" w14:textId="77777777" w:rsidR="0049516E" w:rsidRDefault="0049516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2C640CD" w14:textId="6AEB3481" w:rsidR="0049516E" w:rsidRDefault="00F265AE" w:rsidP="005E490A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5E490A">
        <w:rPr>
          <w:b/>
          <w:bCs/>
          <w:sz w:val="24"/>
          <w:szCs w:val="24"/>
        </w:rPr>
        <w:t>O BEM COMUM NO PLANO DE GESTÃO TERRITORIAL E AMBIENTAL DA TERRA INDÍGENA YANOMAMI</w:t>
      </w:r>
    </w:p>
    <w:p w14:paraId="2AB0BCE2" w14:textId="77777777" w:rsidR="0049516E" w:rsidRDefault="0049516E">
      <w:pPr>
        <w:keepLines/>
        <w:widowControl w:val="0"/>
        <w:spacing w:line="240" w:lineRule="auto"/>
        <w:rPr>
          <w:sz w:val="24"/>
          <w:szCs w:val="24"/>
        </w:rPr>
      </w:pPr>
    </w:p>
    <w:p w14:paraId="594AFDB8" w14:textId="77777777" w:rsidR="0049516E" w:rsidRDefault="0049516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459E5E3" w14:textId="7285658D" w:rsidR="0049516E" w:rsidRDefault="005E490A" w:rsidP="005E490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Renata Camargo de Araújo, Centro de Desenvolvimento Sustentável da Universidade de Brasília (CDS/UnB), renata.rca@gmail.com</w:t>
      </w:r>
    </w:p>
    <w:p w14:paraId="07D4EDF7" w14:textId="77777777" w:rsidR="0049516E" w:rsidRDefault="0049516E">
      <w:pPr>
        <w:keepLines/>
        <w:widowControl w:val="0"/>
        <w:spacing w:line="240" w:lineRule="auto"/>
        <w:rPr>
          <w:sz w:val="24"/>
          <w:szCs w:val="24"/>
        </w:rPr>
      </w:pPr>
    </w:p>
    <w:p w14:paraId="0EB9CE90" w14:textId="77777777" w:rsidR="0049516E" w:rsidRDefault="0049516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93615C6" w14:textId="77777777" w:rsidR="0049516E" w:rsidRDefault="00F265AE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7AEE0DE4" w14:textId="77777777" w:rsidR="0049516E" w:rsidRDefault="0049516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F211B04" w14:textId="2D1E8A0E" w:rsidR="005E490A" w:rsidRPr="008D64D7" w:rsidRDefault="005E490A" w:rsidP="005E490A">
      <w:pPr>
        <w:pStyle w:val="SemEspaamento"/>
        <w:spacing w:line="360" w:lineRule="auto"/>
        <w:ind w:firstLine="708"/>
        <w:jc w:val="both"/>
        <w:rPr>
          <w:sz w:val="24"/>
          <w:szCs w:val="24"/>
        </w:rPr>
      </w:pPr>
      <w:r w:rsidRPr="008D64D7">
        <w:rPr>
          <w:sz w:val="24"/>
          <w:szCs w:val="24"/>
        </w:rPr>
        <w:t xml:space="preserve">No Brasil, </w:t>
      </w:r>
      <w:r>
        <w:rPr>
          <w:sz w:val="24"/>
          <w:szCs w:val="24"/>
        </w:rPr>
        <w:t>diversos atores</w:t>
      </w:r>
      <w:r w:rsidRPr="008D64D7">
        <w:rPr>
          <w:sz w:val="24"/>
          <w:szCs w:val="24"/>
        </w:rPr>
        <w:t xml:space="preserve"> indígenas</w:t>
      </w:r>
      <w:r>
        <w:rPr>
          <w:sz w:val="24"/>
          <w:szCs w:val="24"/>
        </w:rPr>
        <w:t xml:space="preserve"> têm participado de </w:t>
      </w:r>
      <w:r w:rsidRPr="008D64D7">
        <w:rPr>
          <w:sz w:val="24"/>
          <w:szCs w:val="24"/>
        </w:rPr>
        <w:t xml:space="preserve">estratégias políticas que </w:t>
      </w:r>
      <w:r>
        <w:rPr>
          <w:sz w:val="24"/>
          <w:szCs w:val="24"/>
        </w:rPr>
        <w:t>integram</w:t>
      </w:r>
      <w:r w:rsidRPr="008D64D7">
        <w:rPr>
          <w:sz w:val="24"/>
          <w:szCs w:val="24"/>
        </w:rPr>
        <w:t xml:space="preserve"> projetos de vida</w:t>
      </w:r>
      <w:r w:rsidRPr="008D64D7">
        <w:rPr>
          <w:rStyle w:val="Refdenotaderodap"/>
          <w:sz w:val="24"/>
          <w:szCs w:val="24"/>
        </w:rPr>
        <w:footnoteReference w:id="1"/>
      </w:r>
      <w:r w:rsidRPr="008D64D7">
        <w:rPr>
          <w:sz w:val="24"/>
          <w:szCs w:val="24"/>
        </w:rPr>
        <w:t xml:space="preserve"> </w:t>
      </w:r>
      <w:r>
        <w:rPr>
          <w:sz w:val="24"/>
          <w:szCs w:val="24"/>
        </w:rPr>
        <w:t>às</w:t>
      </w:r>
      <w:r w:rsidRPr="008D64D7">
        <w:rPr>
          <w:sz w:val="24"/>
          <w:szCs w:val="24"/>
        </w:rPr>
        <w:t xml:space="preserve"> políticas de Estado de gestão de recursos naturais em terras indígenas (Oliveira, 2020). </w:t>
      </w:r>
      <w:r>
        <w:rPr>
          <w:sz w:val="24"/>
          <w:szCs w:val="24"/>
        </w:rPr>
        <w:t>Essas estratégias se dão nos</w:t>
      </w:r>
      <w:r w:rsidRPr="008D64D7">
        <w:rPr>
          <w:sz w:val="24"/>
          <w:szCs w:val="24"/>
        </w:rPr>
        <w:t xml:space="preserve"> contextos complexos e, muitas vezes, contraditórios de gestão territorial e ambiental (Little, 2006), nos quais os territórios são articulados tanto como espaço do “habitar” indígena quanto como Áreas Protegidas (APs) estratégicas para a conservação da biodiversidade e para a gestão de recursos naturais. N</w:t>
      </w:r>
      <w:r>
        <w:rPr>
          <w:sz w:val="24"/>
          <w:szCs w:val="24"/>
        </w:rPr>
        <w:t xml:space="preserve">esse </w:t>
      </w:r>
      <w:r w:rsidRPr="008D64D7">
        <w:rPr>
          <w:sz w:val="24"/>
          <w:szCs w:val="24"/>
        </w:rPr>
        <w:t>horizonte</w:t>
      </w:r>
      <w:r>
        <w:rPr>
          <w:sz w:val="24"/>
          <w:szCs w:val="24"/>
        </w:rPr>
        <w:t>, os</w:t>
      </w:r>
      <w:r w:rsidRPr="008D64D7">
        <w:rPr>
          <w:sz w:val="24"/>
          <w:szCs w:val="24"/>
        </w:rPr>
        <w:t xml:space="preserve"> povos indígenas</w:t>
      </w:r>
      <w:r>
        <w:rPr>
          <w:sz w:val="24"/>
          <w:szCs w:val="24"/>
        </w:rPr>
        <w:t xml:space="preserve"> da Terra Indígena Yanomami mobilizam </w:t>
      </w:r>
      <w:r w:rsidRPr="008D64D7">
        <w:rPr>
          <w:sz w:val="24"/>
          <w:szCs w:val="24"/>
        </w:rPr>
        <w:t>as florestas, os rios, as montanhas não</w:t>
      </w:r>
      <w:r>
        <w:rPr>
          <w:sz w:val="24"/>
          <w:szCs w:val="24"/>
        </w:rPr>
        <w:t xml:space="preserve"> como</w:t>
      </w:r>
      <w:r w:rsidRPr="008D64D7">
        <w:rPr>
          <w:sz w:val="24"/>
          <w:szCs w:val="24"/>
        </w:rPr>
        <w:t xml:space="preserve"> meros recursos naturais a serem geridos por práticas tecnoburocráticas, mas</w:t>
      </w:r>
      <w:r>
        <w:rPr>
          <w:sz w:val="24"/>
          <w:szCs w:val="24"/>
        </w:rPr>
        <w:t xml:space="preserve"> como</w:t>
      </w:r>
      <w:r w:rsidRPr="008D64D7">
        <w:rPr>
          <w:sz w:val="24"/>
          <w:szCs w:val="24"/>
        </w:rPr>
        <w:t xml:space="preserve"> bens comuns constituídos por existências coletivas baseadas na relacionalidade e na reciprocidade</w:t>
      </w:r>
      <w:r>
        <w:rPr>
          <w:sz w:val="24"/>
          <w:szCs w:val="24"/>
        </w:rPr>
        <w:t xml:space="preserve"> (Kopenawa e Albert, 2015)</w:t>
      </w:r>
      <w:r w:rsidRPr="008D64D7">
        <w:rPr>
          <w:sz w:val="24"/>
          <w:szCs w:val="24"/>
        </w:rPr>
        <w:t>.</w:t>
      </w:r>
    </w:p>
    <w:p w14:paraId="34165C85" w14:textId="07DBC2F7" w:rsidR="005E490A" w:rsidRDefault="005E490A" w:rsidP="006A5401">
      <w:pPr>
        <w:pStyle w:val="SemEspaamento"/>
        <w:spacing w:line="360" w:lineRule="auto"/>
        <w:ind w:firstLine="708"/>
        <w:jc w:val="both"/>
        <w:rPr>
          <w:sz w:val="24"/>
          <w:szCs w:val="24"/>
        </w:rPr>
      </w:pPr>
      <w:r w:rsidRPr="008D64D7">
        <w:rPr>
          <w:sz w:val="24"/>
          <w:szCs w:val="24"/>
        </w:rPr>
        <w:t xml:space="preserve">Os mundos Yanomami e Ye’kwana, </w:t>
      </w:r>
      <w:r>
        <w:rPr>
          <w:sz w:val="24"/>
          <w:szCs w:val="24"/>
        </w:rPr>
        <w:t>constituídos a partir de seus</w:t>
      </w:r>
      <w:r w:rsidRPr="008D64D7">
        <w:rPr>
          <w:sz w:val="24"/>
          <w:szCs w:val="24"/>
        </w:rPr>
        <w:t xml:space="preserve"> conhecimentos ancestrais, </w:t>
      </w:r>
      <w:r>
        <w:rPr>
          <w:sz w:val="24"/>
          <w:szCs w:val="24"/>
        </w:rPr>
        <w:t>constroem</w:t>
      </w:r>
      <w:r w:rsidRPr="008D64D7">
        <w:rPr>
          <w:sz w:val="24"/>
          <w:szCs w:val="24"/>
        </w:rPr>
        <w:t xml:space="preserve"> realidades </w:t>
      </w:r>
      <w:r w:rsidR="00417958">
        <w:rPr>
          <w:sz w:val="24"/>
          <w:szCs w:val="24"/>
        </w:rPr>
        <w:t>por meio</w:t>
      </w:r>
      <w:r w:rsidRPr="008D64D7">
        <w:rPr>
          <w:sz w:val="24"/>
          <w:szCs w:val="24"/>
        </w:rPr>
        <w:t xml:space="preserve"> de uma rede complexa de relações entre humanos e não humanos</w:t>
      </w:r>
      <w:r w:rsidR="00417958">
        <w:rPr>
          <w:sz w:val="24"/>
          <w:szCs w:val="24"/>
        </w:rPr>
        <w:t xml:space="preserve"> (seres-terra)</w:t>
      </w:r>
      <w:r w:rsidRPr="008D64D7">
        <w:rPr>
          <w:sz w:val="24"/>
          <w:szCs w:val="24"/>
        </w:rPr>
        <w:t>, incluindo</w:t>
      </w:r>
      <w:r>
        <w:rPr>
          <w:sz w:val="24"/>
          <w:szCs w:val="24"/>
        </w:rPr>
        <w:t xml:space="preserve"> as relações com seres</w:t>
      </w:r>
      <w:r w:rsidRPr="008D64D7">
        <w:rPr>
          <w:sz w:val="24"/>
          <w:szCs w:val="24"/>
        </w:rPr>
        <w:t xml:space="preserve"> invisíveis</w:t>
      </w:r>
      <w:r>
        <w:rPr>
          <w:sz w:val="24"/>
          <w:szCs w:val="24"/>
        </w:rPr>
        <w:t xml:space="preserve">, como os </w:t>
      </w:r>
      <w:r w:rsidRPr="008D64D7">
        <w:rPr>
          <w:sz w:val="24"/>
          <w:szCs w:val="24"/>
        </w:rPr>
        <w:t xml:space="preserve">espíritos </w:t>
      </w:r>
      <w:r w:rsidRPr="008D64D7">
        <w:rPr>
          <w:i/>
          <w:iCs/>
          <w:sz w:val="24"/>
          <w:szCs w:val="24"/>
        </w:rPr>
        <w:t>xapiri pë</w:t>
      </w:r>
      <w:r>
        <w:rPr>
          <w:sz w:val="24"/>
          <w:szCs w:val="24"/>
        </w:rPr>
        <w:t>, considerados os verdadeiros donos da floresta</w:t>
      </w:r>
      <w:r w:rsidR="00417958">
        <w:rPr>
          <w:sz w:val="24"/>
          <w:szCs w:val="24"/>
        </w:rPr>
        <w:t>, e com os espíritos da roça, que garantem a saúde das plantações</w:t>
      </w:r>
      <w:r w:rsidRPr="008D64D7">
        <w:rPr>
          <w:sz w:val="24"/>
          <w:szCs w:val="24"/>
        </w:rPr>
        <w:t xml:space="preserve">. Tanto na ontologia Yanomami como na ontologia Ye’kwana, é possível </w:t>
      </w:r>
      <w:r w:rsidR="006A5401">
        <w:rPr>
          <w:sz w:val="24"/>
          <w:szCs w:val="24"/>
        </w:rPr>
        <w:t>observar que</w:t>
      </w:r>
      <w:r w:rsidRPr="008D64D7">
        <w:rPr>
          <w:sz w:val="24"/>
          <w:szCs w:val="24"/>
        </w:rPr>
        <w:t>, mais do que “recursos naturais”, elementos da “natureza”</w:t>
      </w:r>
      <w:r w:rsidR="006A5401">
        <w:rPr>
          <w:sz w:val="24"/>
          <w:szCs w:val="24"/>
        </w:rPr>
        <w:t>,</w:t>
      </w:r>
      <w:r w:rsidRPr="008D64D7">
        <w:rPr>
          <w:sz w:val="24"/>
          <w:szCs w:val="24"/>
        </w:rPr>
        <w:t xml:space="preserve"> como água, terra, plantas, animais, minerais e montanha</w:t>
      </w:r>
      <w:r w:rsidR="006A5401">
        <w:rPr>
          <w:sz w:val="24"/>
          <w:szCs w:val="24"/>
        </w:rPr>
        <w:t>s, s</w:t>
      </w:r>
      <w:r w:rsidRPr="008D64D7">
        <w:rPr>
          <w:sz w:val="24"/>
          <w:szCs w:val="24"/>
        </w:rPr>
        <w:t xml:space="preserve">ão seres que </w:t>
      </w:r>
      <w:r w:rsidR="006A5401">
        <w:rPr>
          <w:sz w:val="24"/>
          <w:szCs w:val="24"/>
        </w:rPr>
        <w:t>constituem</w:t>
      </w:r>
      <w:r w:rsidRPr="008D64D7">
        <w:rPr>
          <w:sz w:val="24"/>
          <w:szCs w:val="24"/>
        </w:rPr>
        <w:t xml:space="preserve"> um complexo pluriverso sociocosmológico</w:t>
      </w:r>
      <w:r w:rsidR="006A5401">
        <w:rPr>
          <w:sz w:val="24"/>
          <w:szCs w:val="24"/>
        </w:rPr>
        <w:t xml:space="preserve"> que compõe o bem comum não como uma utopia abstrata, mas </w:t>
      </w:r>
      <w:r w:rsidR="006A5401">
        <w:rPr>
          <w:sz w:val="24"/>
          <w:szCs w:val="24"/>
        </w:rPr>
        <w:lastRenderedPageBreak/>
        <w:t>como parte de um modo de vida no qual a vida humana e não humana são indissociáveis.</w:t>
      </w:r>
    </w:p>
    <w:p w14:paraId="7B6370A3" w14:textId="10B72230" w:rsidR="004E305B" w:rsidRPr="008D64D7" w:rsidRDefault="004E305B" w:rsidP="004E305B">
      <w:pPr>
        <w:pStyle w:val="SemEspaamento"/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Nas práticas do bem comum no território Yanomami, constantes n</w:t>
      </w:r>
      <w:r w:rsidRPr="008D64D7">
        <w:rPr>
          <w:sz w:val="24"/>
          <w:szCs w:val="24"/>
        </w:rPr>
        <w:t xml:space="preserve">egociações </w:t>
      </w:r>
      <w:r>
        <w:rPr>
          <w:sz w:val="24"/>
          <w:szCs w:val="24"/>
        </w:rPr>
        <w:t>precisam ser feitas</w:t>
      </w:r>
      <w:r w:rsidRPr="008D64D7">
        <w:rPr>
          <w:sz w:val="24"/>
          <w:szCs w:val="24"/>
        </w:rPr>
        <w:t xml:space="preserve"> entre humanos e não humanos. Kopenawa e Albert (2015) explicam que, se os humanos querem utilizar as águas dos rios, os</w:t>
      </w:r>
      <w:r>
        <w:rPr>
          <w:sz w:val="24"/>
          <w:szCs w:val="24"/>
        </w:rPr>
        <w:t xml:space="preserve"> pajés</w:t>
      </w:r>
      <w:r w:rsidRPr="008D64D7">
        <w:rPr>
          <w:sz w:val="24"/>
          <w:szCs w:val="24"/>
        </w:rPr>
        <w:t xml:space="preserve"> precisam</w:t>
      </w:r>
      <w:r>
        <w:rPr>
          <w:sz w:val="24"/>
          <w:szCs w:val="24"/>
        </w:rPr>
        <w:t xml:space="preserve"> </w:t>
      </w:r>
      <w:r w:rsidRPr="008D64D7">
        <w:rPr>
          <w:sz w:val="24"/>
          <w:szCs w:val="24"/>
        </w:rPr>
        <w:t xml:space="preserve">negociar com os espíritos sapo, os espíritos jacaré e os espíritos peixes, “donos dos rios”. Se querem caçar para se alimentar das proteínas animais, precisam negociar com os espíritos arara, papagaio, anta e outros animais, que são “donos da mata”. Na ontologia </w:t>
      </w:r>
      <w:r>
        <w:rPr>
          <w:sz w:val="24"/>
          <w:szCs w:val="24"/>
        </w:rPr>
        <w:t>Y</w:t>
      </w:r>
      <w:r w:rsidRPr="008D64D7">
        <w:rPr>
          <w:sz w:val="24"/>
          <w:szCs w:val="24"/>
        </w:rPr>
        <w:t xml:space="preserve">anomami, assim como os humanos, os seres não humanos visíveis ou invisíveis têm agência e </w:t>
      </w:r>
      <w:r>
        <w:rPr>
          <w:sz w:val="24"/>
          <w:szCs w:val="24"/>
        </w:rPr>
        <w:t>intenção</w:t>
      </w:r>
      <w:r w:rsidRPr="008D64D7">
        <w:rPr>
          <w:sz w:val="24"/>
          <w:szCs w:val="24"/>
        </w:rPr>
        <w:t xml:space="preserve">. </w:t>
      </w:r>
      <w:r>
        <w:rPr>
          <w:sz w:val="24"/>
          <w:szCs w:val="24"/>
        </w:rPr>
        <w:t>Como no e</w:t>
      </w:r>
      <w:r w:rsidRPr="008D64D7">
        <w:rPr>
          <w:sz w:val="24"/>
          <w:szCs w:val="24"/>
        </w:rPr>
        <w:t xml:space="preserve">xemplo </w:t>
      </w:r>
      <w:r>
        <w:rPr>
          <w:sz w:val="24"/>
          <w:szCs w:val="24"/>
        </w:rPr>
        <w:t>d</w:t>
      </w:r>
      <w:r w:rsidRPr="008D64D7">
        <w:rPr>
          <w:sz w:val="24"/>
          <w:szCs w:val="24"/>
        </w:rPr>
        <w:t>os animais de caça</w:t>
      </w:r>
      <w:r>
        <w:rPr>
          <w:sz w:val="24"/>
          <w:szCs w:val="24"/>
        </w:rPr>
        <w:t>, no qual</w:t>
      </w:r>
      <w:r w:rsidRPr="008D64D7">
        <w:rPr>
          <w:sz w:val="24"/>
          <w:szCs w:val="24"/>
        </w:rPr>
        <w:t xml:space="preserve"> Kopenawa e Albert (2015) descrevem que, para uma caçada bem</w:t>
      </w:r>
      <w:r>
        <w:rPr>
          <w:sz w:val="24"/>
          <w:szCs w:val="24"/>
        </w:rPr>
        <w:t>-</w:t>
      </w:r>
      <w:r w:rsidRPr="008D64D7">
        <w:rPr>
          <w:sz w:val="24"/>
          <w:szCs w:val="24"/>
        </w:rPr>
        <w:t>sucedida, não basta ser um bom caçador: é preciso que haja o encontro</w:t>
      </w:r>
      <w:r>
        <w:rPr>
          <w:sz w:val="24"/>
          <w:szCs w:val="24"/>
        </w:rPr>
        <w:t>:</w:t>
      </w:r>
      <w:r w:rsidRPr="008D64D7">
        <w:rPr>
          <w:sz w:val="24"/>
          <w:szCs w:val="24"/>
        </w:rPr>
        <w:t xml:space="preserve"> a caça precisa </w:t>
      </w:r>
      <w:r>
        <w:rPr>
          <w:sz w:val="24"/>
          <w:szCs w:val="24"/>
        </w:rPr>
        <w:t xml:space="preserve">intencionalmente se deixar </w:t>
      </w:r>
      <w:r w:rsidRPr="008D64D7">
        <w:rPr>
          <w:sz w:val="24"/>
          <w:szCs w:val="24"/>
        </w:rPr>
        <w:t>matar</w:t>
      </w:r>
      <w:r>
        <w:rPr>
          <w:sz w:val="24"/>
          <w:szCs w:val="24"/>
        </w:rPr>
        <w:t>.</w:t>
      </w:r>
    </w:p>
    <w:p w14:paraId="3E4BD97C" w14:textId="27113231" w:rsidR="00417958" w:rsidRPr="008D64D7" w:rsidRDefault="00417958" w:rsidP="0041795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No</w:t>
      </w:r>
      <w:r w:rsidRPr="008D64D7">
        <w:rPr>
          <w:sz w:val="24"/>
          <w:szCs w:val="24"/>
        </w:rPr>
        <w:t xml:space="preserve"> contexto da gestão territorial e ambiental em terras indígenas</w:t>
      </w:r>
      <w:r>
        <w:rPr>
          <w:sz w:val="24"/>
          <w:szCs w:val="24"/>
        </w:rPr>
        <w:t xml:space="preserve">, </w:t>
      </w:r>
      <w:r w:rsidR="004E305B">
        <w:rPr>
          <w:sz w:val="24"/>
          <w:szCs w:val="24"/>
        </w:rPr>
        <w:t xml:space="preserve">esses modos de vida indígenas interagem com práticas técnico-burocráticas da política da conservação ambiental, marcadas por pressupostos da modernidade, constituindo um </w:t>
      </w:r>
      <w:r w:rsidRPr="008D64D7">
        <w:rPr>
          <w:sz w:val="24"/>
          <w:szCs w:val="24"/>
        </w:rPr>
        <w:t xml:space="preserve">encontro de mundos díspares (Blaser, 2013). Nesse </w:t>
      </w:r>
      <w:r>
        <w:rPr>
          <w:sz w:val="24"/>
          <w:szCs w:val="24"/>
        </w:rPr>
        <w:t>contexto</w:t>
      </w:r>
      <w:r w:rsidRPr="008D64D7">
        <w:rPr>
          <w:sz w:val="24"/>
          <w:szCs w:val="24"/>
        </w:rPr>
        <w:t xml:space="preserve">, os Planos de Gestão Territorial e Ambiental de Terras Indígenas (PGTAs), instrumentos de políticas públicas mobilizados como ferramentas de diálogo entre atores indígenas e não indígenas (FUNAI, 2013), são </w:t>
      </w:r>
      <w:r>
        <w:rPr>
          <w:sz w:val="24"/>
          <w:szCs w:val="24"/>
        </w:rPr>
        <w:t>instrumentos</w:t>
      </w:r>
      <w:r w:rsidRPr="008D64D7">
        <w:rPr>
          <w:sz w:val="24"/>
          <w:szCs w:val="24"/>
        </w:rPr>
        <w:t xml:space="preserve"> estratégicos para negociar bens comuns. Esses instrumentos, elaborados ao longo de processos participativos envolvendo povos indígenas e atores de governo, sociedade civil, cooperação internacional, entre outros, não encerram as contradições e complexidades da gestão de bens comuns</w:t>
      </w:r>
      <w:r>
        <w:rPr>
          <w:sz w:val="24"/>
          <w:szCs w:val="24"/>
        </w:rPr>
        <w:t xml:space="preserve"> em terras indígenas</w:t>
      </w:r>
      <w:r w:rsidRPr="008D64D7">
        <w:rPr>
          <w:sz w:val="24"/>
          <w:szCs w:val="24"/>
        </w:rPr>
        <w:t>, mas se apresentam como um campo fértil de equivocações (Viveiros de Castro, 2018) e potenciais conflitos ontológicos (Blaser, 2009, 2013).</w:t>
      </w:r>
    </w:p>
    <w:p w14:paraId="4B20007D" w14:textId="5115D2CC" w:rsidR="004E305B" w:rsidRDefault="001B7D92" w:rsidP="0041795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trabalho insere-se no campo de pesquisa da ontologia política, que tem os estudos decoloniais e a Teoria Ator-Rede como base teórica. </w:t>
      </w:r>
      <w:r w:rsidR="00417958" w:rsidRPr="008D64D7">
        <w:rPr>
          <w:sz w:val="24"/>
          <w:szCs w:val="24"/>
        </w:rPr>
        <w:t>Est</w:t>
      </w:r>
      <w:r>
        <w:rPr>
          <w:sz w:val="24"/>
          <w:szCs w:val="24"/>
        </w:rPr>
        <w:t>a pesquisa</w:t>
      </w:r>
      <w:r w:rsidR="00417958" w:rsidRPr="008D64D7">
        <w:rPr>
          <w:sz w:val="24"/>
          <w:szCs w:val="24"/>
        </w:rPr>
        <w:t xml:space="preserve"> dedica-se a analisar o Plano de Gestão Territorial e Ambiental da Terra Indígena Yanomami (PGTA da TIY), a maior terra indígena do Brasil. </w:t>
      </w:r>
      <w:r w:rsidR="000C7047" w:rsidRPr="000C7047">
        <w:rPr>
          <w:sz w:val="24"/>
          <w:szCs w:val="24"/>
        </w:rPr>
        <w:t xml:space="preserve">O PGTA da TIY é atualmente um instrumento estratégico para direcionar a política de gestão territorial do governo federal e orientar a atuação de órgãos públicos no território Yanomami (Brasil, 2023). Contudo, enquanto o Estado tende a enquadrar a floresta, os rios e os </w:t>
      </w:r>
      <w:r w:rsidR="000C7047" w:rsidRPr="000C7047">
        <w:rPr>
          <w:sz w:val="24"/>
          <w:szCs w:val="24"/>
        </w:rPr>
        <w:lastRenderedPageBreak/>
        <w:t>igarapés sob a lógica jurídica dos bens de uso comum do povo, para os Yanomami</w:t>
      </w:r>
      <w:r w:rsidR="000C7047">
        <w:rPr>
          <w:sz w:val="24"/>
          <w:szCs w:val="24"/>
        </w:rPr>
        <w:t xml:space="preserve"> e Ye’kwana</w:t>
      </w:r>
      <w:r w:rsidR="000C7047" w:rsidRPr="000C7047">
        <w:rPr>
          <w:sz w:val="24"/>
          <w:szCs w:val="24"/>
        </w:rPr>
        <w:t xml:space="preserve"> esses mesmos elementos constituem um comum relacional e vivo, habitado e sustentado por </w:t>
      </w:r>
      <w:r w:rsidR="000C7047">
        <w:rPr>
          <w:sz w:val="24"/>
          <w:szCs w:val="24"/>
        </w:rPr>
        <w:t>relações</w:t>
      </w:r>
      <w:r w:rsidR="000C7047" w:rsidRPr="000C7047">
        <w:rPr>
          <w:sz w:val="24"/>
          <w:szCs w:val="24"/>
        </w:rPr>
        <w:t xml:space="preserve"> entre humanos e não humanos.</w:t>
      </w:r>
      <w:r w:rsidR="00417958" w:rsidRPr="008D64D7">
        <w:rPr>
          <w:sz w:val="24"/>
          <w:szCs w:val="24"/>
        </w:rPr>
        <w:t xml:space="preserve"> Esse estudo buscou verificar como se dá o encontro d</w:t>
      </w:r>
      <w:r w:rsidR="000C7047">
        <w:rPr>
          <w:sz w:val="24"/>
          <w:szCs w:val="24"/>
        </w:rPr>
        <w:t>as práticas burocráticas d</w:t>
      </w:r>
      <w:r w:rsidR="00417958" w:rsidRPr="008D64D7">
        <w:rPr>
          <w:sz w:val="24"/>
          <w:szCs w:val="24"/>
        </w:rPr>
        <w:t xml:space="preserve">o mundo moderno e </w:t>
      </w:r>
      <w:r w:rsidR="000C7047">
        <w:rPr>
          <w:sz w:val="24"/>
          <w:szCs w:val="24"/>
        </w:rPr>
        <w:t xml:space="preserve">das práticas relacionais comunais dos </w:t>
      </w:r>
      <w:r w:rsidR="00417958" w:rsidRPr="008D64D7">
        <w:rPr>
          <w:sz w:val="24"/>
          <w:szCs w:val="24"/>
        </w:rPr>
        <w:t xml:space="preserve">mundos indígenas Yanomami e Ye’kwana no PGTA da TIY, analisando </w:t>
      </w:r>
      <w:r w:rsidR="00417958">
        <w:rPr>
          <w:sz w:val="24"/>
          <w:szCs w:val="24"/>
        </w:rPr>
        <w:t>se</w:t>
      </w:r>
      <w:r w:rsidR="000C7047">
        <w:rPr>
          <w:sz w:val="24"/>
          <w:szCs w:val="24"/>
        </w:rPr>
        <w:t xml:space="preserve"> </w:t>
      </w:r>
      <w:r w:rsidR="00417958">
        <w:rPr>
          <w:sz w:val="24"/>
          <w:szCs w:val="24"/>
        </w:rPr>
        <w:t>prevalece a gestão eficiente tecnoburocrática de recursos naturais ou a sustentação de redes relacionais de ontologias indígenas entre humanos e seres-terra.</w:t>
      </w:r>
    </w:p>
    <w:p w14:paraId="4B92A4F9" w14:textId="0162CF91" w:rsidR="001B7D92" w:rsidRDefault="004E305B" w:rsidP="001B7D92">
      <w:pPr>
        <w:spacing w:line="360" w:lineRule="auto"/>
        <w:ind w:firstLine="709"/>
        <w:jc w:val="both"/>
        <w:rPr>
          <w:sz w:val="24"/>
          <w:szCs w:val="24"/>
        </w:rPr>
      </w:pPr>
      <w:r w:rsidRPr="004E305B">
        <w:rPr>
          <w:sz w:val="24"/>
          <w:szCs w:val="24"/>
        </w:rPr>
        <w:t>Como resultado desta pesquisa, observou-se que</w:t>
      </w:r>
      <w:r w:rsidR="000C7047">
        <w:rPr>
          <w:sz w:val="24"/>
          <w:szCs w:val="24"/>
        </w:rPr>
        <w:t xml:space="preserve"> há uma prevalência de práticas técnico-burocráticas que</w:t>
      </w:r>
      <w:r w:rsidRPr="004E305B">
        <w:rPr>
          <w:sz w:val="24"/>
          <w:szCs w:val="24"/>
        </w:rPr>
        <w:t xml:space="preserve"> </w:t>
      </w:r>
      <w:r w:rsidR="000C7047">
        <w:rPr>
          <w:sz w:val="24"/>
          <w:szCs w:val="24"/>
        </w:rPr>
        <w:t>reforçam o caráter da natureza vista como um bem comum público a ser gerido tecnicamente pelo Estado para usufruto do homem</w:t>
      </w:r>
      <w:r w:rsidR="005909EC">
        <w:rPr>
          <w:sz w:val="24"/>
          <w:szCs w:val="24"/>
        </w:rPr>
        <w:t xml:space="preserve"> no plano de gestão</w:t>
      </w:r>
      <w:r w:rsidR="000C7047">
        <w:rPr>
          <w:sz w:val="24"/>
          <w:szCs w:val="24"/>
        </w:rPr>
        <w:t xml:space="preserve">. A pesquisa mostrou que, por meio de narrativas, o plano de gestão </w:t>
      </w:r>
      <w:r w:rsidRPr="004E305B">
        <w:rPr>
          <w:sz w:val="24"/>
          <w:szCs w:val="24"/>
        </w:rPr>
        <w:t xml:space="preserve">coordena e distribui a relação humana com animais, plantas, rios, montanhas e outros elementos a partir do conceito de “recursos naturais” e invisibiliza concepções radicalmente díspares da relação </w:t>
      </w:r>
      <w:r w:rsidR="000C7047">
        <w:rPr>
          <w:sz w:val="24"/>
          <w:szCs w:val="24"/>
        </w:rPr>
        <w:t>humano-</w:t>
      </w:r>
      <w:r w:rsidRPr="004E305B">
        <w:rPr>
          <w:sz w:val="24"/>
          <w:szCs w:val="24"/>
        </w:rPr>
        <w:t xml:space="preserve">natureza. </w:t>
      </w:r>
      <w:r w:rsidR="001B7D92">
        <w:rPr>
          <w:sz w:val="24"/>
          <w:szCs w:val="24"/>
        </w:rPr>
        <w:t>Observa-se</w:t>
      </w:r>
      <w:r w:rsidR="005909EC">
        <w:rPr>
          <w:sz w:val="24"/>
          <w:szCs w:val="24"/>
        </w:rPr>
        <w:t>, no entanto,</w:t>
      </w:r>
      <w:r w:rsidR="001B7D92">
        <w:rPr>
          <w:sz w:val="24"/>
          <w:szCs w:val="24"/>
        </w:rPr>
        <w:t xml:space="preserve"> que a</w:t>
      </w:r>
      <w:r w:rsidRPr="004E305B">
        <w:rPr>
          <w:sz w:val="24"/>
          <w:szCs w:val="24"/>
        </w:rPr>
        <w:t xml:space="preserve"> possibilidade de práticas</w:t>
      </w:r>
      <w:r w:rsidR="000C7047">
        <w:rPr>
          <w:sz w:val="24"/>
          <w:szCs w:val="24"/>
        </w:rPr>
        <w:t xml:space="preserve"> do</w:t>
      </w:r>
      <w:r w:rsidRPr="004E305B">
        <w:rPr>
          <w:sz w:val="24"/>
          <w:szCs w:val="24"/>
        </w:rPr>
        <w:t xml:space="preserve"> pluriverso</w:t>
      </w:r>
      <w:r w:rsidR="001B7D92">
        <w:rPr>
          <w:sz w:val="24"/>
          <w:szCs w:val="24"/>
        </w:rPr>
        <w:t xml:space="preserve"> é possível se, na</w:t>
      </w:r>
      <w:r w:rsidRPr="004E305B">
        <w:rPr>
          <w:sz w:val="24"/>
          <w:szCs w:val="24"/>
        </w:rPr>
        <w:t xml:space="preserve"> implementação das propostas de gestão ambiental do </w:t>
      </w:r>
      <w:r w:rsidR="001B7D92">
        <w:rPr>
          <w:sz w:val="24"/>
          <w:szCs w:val="24"/>
        </w:rPr>
        <w:t>PGTA da TIY, práticas de bem comum indígenas de sustentabilidade forem asseguradas.</w:t>
      </w:r>
    </w:p>
    <w:p w14:paraId="14CFC00C" w14:textId="5EED2ADF" w:rsidR="005E490A" w:rsidRPr="008D64D7" w:rsidRDefault="005E490A" w:rsidP="001B7D92">
      <w:pPr>
        <w:spacing w:line="360" w:lineRule="auto"/>
        <w:ind w:firstLine="709"/>
        <w:jc w:val="both"/>
        <w:rPr>
          <w:rFonts w:eastAsia="Times New Roman"/>
          <w:sz w:val="24"/>
          <w:szCs w:val="24"/>
        </w:rPr>
      </w:pPr>
      <w:r w:rsidRPr="008D64D7">
        <w:rPr>
          <w:sz w:val="24"/>
          <w:szCs w:val="24"/>
        </w:rPr>
        <w:t>Mais do que uma análise com respostas fechadas e debates encerrados sobre questões complexas de gestão territorial e ambiental na Terra Indígena Yanomami, este trabalho se propôs a abrir caminhos para reflexões profundas em torno do fazer de políticas em terras e territórios indígenas. É um convite a desacelerar os raciocínios, como nos convida a</w:t>
      </w:r>
      <w:r w:rsidRPr="008D64D7">
        <w:rPr>
          <w:rFonts w:eastAsia="Times New Roman"/>
          <w:sz w:val="24"/>
          <w:szCs w:val="24"/>
        </w:rPr>
        <w:t xml:space="preserve"> proposta de cosmopolítica de Stengers (2018). Com esta pesquisa, pretendo contribuir para as discussões de movimentos que estão repensando a política em terras indígenas para além da racionalidade ocidental (DE LA CADENA, 2019, 2024), trazendo elementos que possam ajudar a desnaturalizar a exclusão de práticas e discursos de ontologias indígenas do contexto da política.</w:t>
      </w:r>
    </w:p>
    <w:p w14:paraId="7E6B0C55" w14:textId="77777777" w:rsidR="0049516E" w:rsidRDefault="0049516E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BC5224C" w14:textId="77777777" w:rsidR="0049516E" w:rsidRDefault="00F265AE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EE27ACC" w14:textId="77777777" w:rsidR="005E490A" w:rsidRDefault="005E490A" w:rsidP="005E490A">
      <w:pPr>
        <w:pStyle w:val="SemEspaamento"/>
        <w:spacing w:line="360" w:lineRule="auto"/>
        <w:jc w:val="both"/>
      </w:pPr>
    </w:p>
    <w:p w14:paraId="67DDBA4F" w14:textId="0B842545" w:rsidR="005E490A" w:rsidRPr="005E490A" w:rsidRDefault="005E490A" w:rsidP="005E490A">
      <w:pPr>
        <w:pStyle w:val="SemEspaamento"/>
        <w:spacing w:line="360" w:lineRule="auto"/>
        <w:jc w:val="both"/>
      </w:pPr>
      <w:r w:rsidRPr="005E490A">
        <w:t xml:space="preserve">Palavras-chave: </w:t>
      </w:r>
      <w:r w:rsidR="001B7D92">
        <w:t>Bem comum; p</w:t>
      </w:r>
      <w:r w:rsidRPr="005E490A">
        <w:t>olíticas públicas; recursos naturais; ontologia política</w:t>
      </w:r>
      <w:r>
        <w:t>.</w:t>
      </w:r>
    </w:p>
    <w:p w14:paraId="028949B8" w14:textId="77777777" w:rsidR="005E490A" w:rsidRDefault="005E490A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29BC087" w14:textId="77777777" w:rsidR="0049516E" w:rsidRDefault="00F265AE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4C23B7A" w14:textId="77777777" w:rsidR="0049516E" w:rsidRDefault="0049516E">
      <w:pPr>
        <w:rPr>
          <w:sz w:val="24"/>
          <w:szCs w:val="24"/>
        </w:rPr>
      </w:pPr>
    </w:p>
    <w:p w14:paraId="00484173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  <w:lang w:val="es-419"/>
        </w:rPr>
      </w:pPr>
      <w:r w:rsidRPr="008D64D7">
        <w:rPr>
          <w:sz w:val="24"/>
          <w:szCs w:val="24"/>
          <w:lang w:val="es-419"/>
        </w:rPr>
        <w:t>BLASER, Mario. La ontología política de un programa de caza sustentable. Traducción con ligeras modificaciones de un articulo en inglês. Revista Red de Antropologias Mundiales, n. 9, 81-108, 2009</w:t>
      </w:r>
    </w:p>
    <w:p w14:paraId="6F037865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  <w:lang w:val="es-419"/>
        </w:rPr>
      </w:pPr>
    </w:p>
    <w:p w14:paraId="732EAD8E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  <w:lang w:val="es-419"/>
        </w:rPr>
        <w:t xml:space="preserve">BLASER, Mario. Relato de la globalizacion desde el Chaco. </w:t>
      </w:r>
      <w:r w:rsidRPr="008D64D7">
        <w:rPr>
          <w:sz w:val="24"/>
          <w:szCs w:val="24"/>
        </w:rPr>
        <w:t>Universidad del Cauca. 2013.</w:t>
      </w:r>
      <w:bookmarkStart w:id="0" w:name="_81pki2xgnolb"/>
      <w:bookmarkEnd w:id="0"/>
    </w:p>
    <w:p w14:paraId="60C51A58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04908241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>BRASIL, Presidência da República. Relatório Integrado de Ações: Emergência Yanomami. Brasília: Presidência da República, 2023.</w:t>
      </w:r>
    </w:p>
    <w:p w14:paraId="36E1BAC0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0CC62800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>DE LA CADENA, Marisol. Cosmopolítica indígena nos Andes: reflexões conceituais para além da ‘política’. Tradutores: Lucas da Costa Maciel e Fernanda Borges Henrique. Revista de Estudos Indígenas, Campinas, SP: v. 2, p. 1 – 37, 2019.</w:t>
      </w:r>
    </w:p>
    <w:p w14:paraId="28F95015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7F82056D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 xml:space="preserve">DE LA CADENA, Marisol. </w:t>
      </w:r>
      <w:r w:rsidRPr="008D64D7">
        <w:rPr>
          <w:iCs/>
          <w:sz w:val="24"/>
          <w:szCs w:val="24"/>
        </w:rPr>
        <w:t>Seres</w:t>
      </w:r>
      <w:r w:rsidRPr="008D64D7">
        <w:rPr>
          <w:iCs/>
          <w:sz w:val="24"/>
          <w:szCs w:val="24"/>
        </w:rPr>
        <w:noBreakHyphen/>
        <w:t>terra: cosmopolíticas em mundos andinos</w:t>
      </w:r>
      <w:r w:rsidRPr="008D64D7">
        <w:rPr>
          <w:sz w:val="24"/>
          <w:szCs w:val="24"/>
        </w:rPr>
        <w:t>. Tradução: Caroline Nogueira e Fernando Silva e Silva. Rio de Janeiro: Bazar do Tempo, 2024.</w:t>
      </w:r>
    </w:p>
    <w:p w14:paraId="3A171199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220ADCBF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  <w:lang w:val="es-419"/>
        </w:rPr>
        <w:t xml:space="preserve">DE LA CADENA, Marisol. BLASER, Mario. </w:t>
      </w:r>
      <w:r w:rsidRPr="008D64D7">
        <w:rPr>
          <w:sz w:val="24"/>
          <w:szCs w:val="24"/>
          <w:lang w:val="en-US"/>
        </w:rPr>
        <w:t xml:space="preserve">A World of Many Worlds. </w:t>
      </w:r>
      <w:r w:rsidRPr="008D64D7">
        <w:rPr>
          <w:sz w:val="24"/>
          <w:szCs w:val="24"/>
        </w:rPr>
        <w:t>Duke University, Carolina do Norte, Estados Unidos, 2018.</w:t>
      </w:r>
    </w:p>
    <w:p w14:paraId="15C34DC7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008B7C3A" w14:textId="77777777" w:rsidR="005E490A" w:rsidRPr="007E2CD0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 xml:space="preserve">FUNAI </w:t>
      </w:r>
      <w:r w:rsidRPr="008D64D7">
        <w:rPr>
          <w:sz w:val="24"/>
          <w:szCs w:val="24"/>
          <w:lang w:val="pt-PT"/>
        </w:rPr>
        <w:t>–</w:t>
      </w:r>
      <w:r w:rsidRPr="008D64D7">
        <w:rPr>
          <w:sz w:val="24"/>
          <w:szCs w:val="24"/>
        </w:rPr>
        <w:t xml:space="preserve"> Fundação Nacional dos Povos Indígenas. Plano de Gestão Territorial e </w:t>
      </w:r>
      <w:r w:rsidRPr="007E2CD0">
        <w:rPr>
          <w:sz w:val="24"/>
          <w:szCs w:val="24"/>
        </w:rPr>
        <w:t>Ambiental de Terras Indígenas: Orientações para Elaboração. Brasília: FUNAI, 2013.</w:t>
      </w:r>
    </w:p>
    <w:p w14:paraId="5986453E" w14:textId="77777777" w:rsidR="007E2CD0" w:rsidRPr="007E2CD0" w:rsidRDefault="007E2CD0" w:rsidP="007E2CD0">
      <w:pPr>
        <w:spacing w:before="100" w:beforeAutospacing="1" w:line="240" w:lineRule="auto"/>
        <w:jc w:val="both"/>
        <w:rPr>
          <w:sz w:val="24"/>
          <w:szCs w:val="24"/>
        </w:rPr>
      </w:pPr>
      <w:r w:rsidRPr="007E2CD0">
        <w:rPr>
          <w:sz w:val="24"/>
          <w:szCs w:val="24"/>
        </w:rPr>
        <w:t>KOPENAWA, Davi; ALBERT, Bruce. </w:t>
      </w:r>
      <w:r w:rsidRPr="007E2CD0">
        <w:rPr>
          <w:i/>
          <w:iCs/>
          <w:sz w:val="24"/>
          <w:szCs w:val="24"/>
        </w:rPr>
        <w:t>A Queda do Céu: palavras de um xamã Yanomami</w:t>
      </w:r>
      <w:r w:rsidRPr="007E2CD0">
        <w:rPr>
          <w:sz w:val="24"/>
          <w:szCs w:val="24"/>
        </w:rPr>
        <w:t>. Tradução de Beatriz Perrone</w:t>
      </w:r>
      <w:r w:rsidRPr="007E2CD0">
        <w:rPr>
          <w:sz w:val="24"/>
          <w:szCs w:val="24"/>
        </w:rPr>
        <w:noBreakHyphen/>
        <w:t>Moisés; prefácio de Eduardo Viveiros de Castro. São Paulo: Companhia das Letras, 2015.</w:t>
      </w:r>
    </w:p>
    <w:p w14:paraId="022961A4" w14:textId="77777777" w:rsidR="005E490A" w:rsidRPr="007E2CD0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08937646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>LITTLE, Paul E. Gestão territorial em terras indígenas: definições de conceitos e proposta de diretrizes. Rio Branco: Universidade de Brasília, 2006.</w:t>
      </w:r>
    </w:p>
    <w:p w14:paraId="1C2D020E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05B49B25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>OLIVEIRA, Alessandro Roberto. Awnetypan amazad: políticas indígenas do habitar e gestão territorial-ambiental em terras indígenas. Anuário Antropológico, v. 45, n. 1, 2020.</w:t>
      </w:r>
    </w:p>
    <w:p w14:paraId="7CB07C75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19A3802E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>STENGERS, Isabelle. A proposição cosmopolítica. Revista do Instituto de Estudos Brasileiros, Brasil, n. 69, p. 442-464, abr. 2018.</w:t>
      </w:r>
    </w:p>
    <w:p w14:paraId="307918F0" w14:textId="77777777" w:rsidR="005E490A" w:rsidRPr="008D64D7" w:rsidRDefault="005E490A" w:rsidP="005E490A">
      <w:pPr>
        <w:spacing w:line="240" w:lineRule="auto"/>
        <w:jc w:val="both"/>
        <w:rPr>
          <w:sz w:val="24"/>
          <w:szCs w:val="24"/>
        </w:rPr>
      </w:pPr>
    </w:p>
    <w:p w14:paraId="3A708FE3" w14:textId="4D44AE61" w:rsidR="0049516E" w:rsidRPr="001B7D92" w:rsidRDefault="005E490A" w:rsidP="001B7D92">
      <w:pPr>
        <w:spacing w:line="240" w:lineRule="auto"/>
        <w:jc w:val="both"/>
        <w:rPr>
          <w:sz w:val="24"/>
          <w:szCs w:val="24"/>
        </w:rPr>
      </w:pPr>
      <w:r w:rsidRPr="008D64D7">
        <w:rPr>
          <w:sz w:val="24"/>
          <w:szCs w:val="24"/>
        </w:rPr>
        <w:t>VIVEIROS DE CASTRO, Eduardo. A Antropologia Perspectivista e o método da equivocação controlada. Tradução: Marcelo Giacomazzi Camargo e Rodrigo Amaro. Aceno – Revista de Antropologia do Centro-Oeste, v. 5; n. 10, p. 247-264, ago/dez 2018.</w:t>
      </w:r>
    </w:p>
    <w:sectPr w:rsidR="0049516E" w:rsidRPr="001B7D92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DCB67" w14:textId="77777777" w:rsidR="00F265AE" w:rsidRDefault="00F265AE">
      <w:pPr>
        <w:spacing w:line="240" w:lineRule="auto"/>
      </w:pPr>
      <w:r>
        <w:separator/>
      </w:r>
    </w:p>
  </w:endnote>
  <w:endnote w:type="continuationSeparator" w:id="0">
    <w:p w14:paraId="0B5D66B4" w14:textId="77777777" w:rsidR="00F265AE" w:rsidRDefault="00F265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BFCF223-152F-40E3-BC67-76664877CD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C6DEAE-FEAA-41DC-A3B2-1D239A466F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1272" w14:textId="77777777" w:rsidR="0049516E" w:rsidRDefault="00F265AE">
    <w:pPr>
      <w:jc w:val="center"/>
    </w:pPr>
    <w:r>
      <w:fldChar w:fldCharType="begin"/>
    </w:r>
    <w:r>
      <w:instrText>PAGE</w:instrText>
    </w:r>
    <w:r>
      <w:fldChar w:fldCharType="separate"/>
    </w:r>
    <w:r w:rsidR="005E490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4BFCE" w14:textId="77777777" w:rsidR="0049516E" w:rsidRDefault="004951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1131" w14:textId="77777777" w:rsidR="00F265AE" w:rsidRDefault="00F265AE">
      <w:pPr>
        <w:spacing w:line="240" w:lineRule="auto"/>
      </w:pPr>
      <w:r>
        <w:separator/>
      </w:r>
    </w:p>
  </w:footnote>
  <w:footnote w:type="continuationSeparator" w:id="0">
    <w:p w14:paraId="40B6FA11" w14:textId="77777777" w:rsidR="00F265AE" w:rsidRDefault="00F265AE">
      <w:pPr>
        <w:spacing w:line="240" w:lineRule="auto"/>
      </w:pPr>
      <w:r>
        <w:continuationSeparator/>
      </w:r>
    </w:p>
  </w:footnote>
  <w:footnote w:id="1">
    <w:p w14:paraId="7CBDAF15" w14:textId="77777777" w:rsidR="005E490A" w:rsidRPr="00C136CE" w:rsidRDefault="005E490A" w:rsidP="005E490A">
      <w:pPr>
        <w:pStyle w:val="Textodenotaderodap"/>
        <w:jc w:val="both"/>
      </w:pPr>
      <w:r w:rsidRPr="00202AF6">
        <w:rPr>
          <w:rStyle w:val="Refdenotaderodap"/>
          <w:rFonts w:ascii="Times New Roman" w:hAnsi="Times New Roman" w:cs="Times New Roman"/>
        </w:rPr>
        <w:footnoteRef/>
      </w:r>
      <w:r w:rsidRPr="00202AF6">
        <w:rPr>
          <w:rFonts w:ascii="Times New Roman" w:hAnsi="Times New Roman" w:cs="Times New Roman"/>
        </w:rPr>
        <w:t xml:space="preserve"> Projetos de vida no sentido de Blaser (2004)</w:t>
      </w:r>
      <w:r>
        <w:rPr>
          <w:rFonts w:ascii="Times New Roman" w:hAnsi="Times New Roman" w:cs="Times New Roman"/>
        </w:rPr>
        <w:t>,</w:t>
      </w:r>
      <w:r w:rsidRPr="00202A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que seriam planos nos</w:t>
      </w:r>
      <w:r w:rsidRPr="002F5249">
        <w:rPr>
          <w:rFonts w:ascii="Times New Roman" w:eastAsia="Times New Roman" w:hAnsi="Times New Roman" w:cs="Times New Roman"/>
        </w:rPr>
        <w:t xml:space="preserve"> quais</w:t>
      </w:r>
      <w:r w:rsidRPr="00364981">
        <w:rPr>
          <w:rFonts w:ascii="Times New Roman" w:eastAsia="Times New Roman" w:hAnsi="Times New Roman" w:cs="Times New Roman"/>
        </w:rPr>
        <w:t xml:space="preserve"> povos indígenas elaboram coletivamente suas visões de como querem viver em suas terras/territórios.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7D6A0" w14:textId="77777777" w:rsidR="0049516E" w:rsidRDefault="00F265AE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2B695CC" wp14:editId="319D736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060F1B6" wp14:editId="2225725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4182C1" w14:textId="77777777" w:rsidR="0049516E" w:rsidRDefault="0049516E">
    <w:pPr>
      <w:jc w:val="right"/>
    </w:pPr>
  </w:p>
  <w:p w14:paraId="3541FCA8" w14:textId="77777777" w:rsidR="0049516E" w:rsidRDefault="0049516E">
    <w:pPr>
      <w:jc w:val="right"/>
    </w:pPr>
  </w:p>
  <w:p w14:paraId="3F868B01" w14:textId="77777777" w:rsidR="0049516E" w:rsidRDefault="00F265AE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1A129D0" wp14:editId="6ECDD21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9A04" w14:textId="77777777" w:rsidR="0049516E" w:rsidRDefault="004951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6E"/>
    <w:rsid w:val="000C7047"/>
    <w:rsid w:val="001B7D92"/>
    <w:rsid w:val="00417958"/>
    <w:rsid w:val="0049516E"/>
    <w:rsid w:val="004E305B"/>
    <w:rsid w:val="005909EC"/>
    <w:rsid w:val="005E490A"/>
    <w:rsid w:val="006A5401"/>
    <w:rsid w:val="007E2CD0"/>
    <w:rsid w:val="008D27F1"/>
    <w:rsid w:val="00BE661A"/>
    <w:rsid w:val="00CE0E6B"/>
    <w:rsid w:val="00CF02EE"/>
    <w:rsid w:val="00F2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A9E52"/>
  <w15:docId w15:val="{15B1389A-573A-4498-8894-24D0EBB3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95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E490A"/>
    <w:pPr>
      <w:spacing w:line="240" w:lineRule="auto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E490A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styleId="Refdenotaderodap">
    <w:name w:val="footnote reference"/>
    <w:basedOn w:val="Fontepargpadro"/>
    <w:uiPriority w:val="99"/>
    <w:unhideWhenUsed/>
    <w:rsid w:val="005E490A"/>
    <w:rPr>
      <w:vertAlign w:val="superscript"/>
    </w:rPr>
  </w:style>
  <w:style w:type="paragraph" w:customStyle="1" w:styleId="Standard">
    <w:name w:val="Standard"/>
    <w:rsid w:val="005E490A"/>
    <w:pPr>
      <w:suppressAutoHyphens/>
      <w:autoSpaceDN w:val="0"/>
      <w:textAlignment w:val="baseline"/>
    </w:pPr>
  </w:style>
  <w:style w:type="paragraph" w:styleId="SemEspaamento">
    <w:name w:val="No Spacing"/>
    <w:uiPriority w:val="1"/>
    <w:qFormat/>
    <w:rsid w:val="005E490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1255</Words>
  <Characters>7197</Characters>
  <Application>Microsoft Office Word</Application>
  <DocSecurity>0</DocSecurity>
  <Lines>133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Camargo de Araujo</dc:creator>
  <cp:lastModifiedBy>Renata Camargo de Araujo</cp:lastModifiedBy>
  <cp:revision>2</cp:revision>
  <dcterms:created xsi:type="dcterms:W3CDTF">2026-08-17T03:00:00Z</dcterms:created>
  <dcterms:modified xsi:type="dcterms:W3CDTF">2026-08-17T03:00:00Z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bea03573-996f-497c-9aef-469278878079</vt:lpwstr>
  </property>
</Properties>
</file>