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8F" w:rsidRPr="00D60E8F" w:rsidRDefault="00D60E8F" w:rsidP="00D60E8F">
      <w:pPr>
        <w:spacing w:after="0" w:line="240" w:lineRule="auto"/>
        <w:rPr>
          <w:rFonts w:ascii="Cambria" w:hAnsi="Cambria"/>
          <w:b/>
          <w:sz w:val="28"/>
          <w:lang w:val="en-IN"/>
        </w:rPr>
      </w:pPr>
      <w:r w:rsidRPr="00D60E8F">
        <w:rPr>
          <w:rFonts w:ascii="Cambria" w:hAnsi="Cambria"/>
          <w:b/>
          <w:sz w:val="28"/>
          <w:lang w:val="en-IN"/>
        </w:rPr>
        <w:t xml:space="preserve">For </w:t>
      </w:r>
      <w:r>
        <w:rPr>
          <w:rFonts w:ascii="Cambria" w:hAnsi="Cambria"/>
          <w:b/>
          <w:sz w:val="28"/>
          <w:lang w:val="en-IN"/>
        </w:rPr>
        <w:t xml:space="preserve">SRIT </w:t>
      </w:r>
      <w:r w:rsidRPr="00D60E8F">
        <w:rPr>
          <w:rFonts w:ascii="Cambria" w:hAnsi="Cambria"/>
          <w:b/>
          <w:sz w:val="28"/>
          <w:lang w:val="en-IN"/>
        </w:rPr>
        <w:t>R1</w:t>
      </w:r>
      <w:r>
        <w:rPr>
          <w:rFonts w:ascii="Cambria" w:hAnsi="Cambria"/>
          <w:b/>
          <w:sz w:val="28"/>
          <w:lang w:val="en-IN"/>
        </w:rPr>
        <w:t>9 &amp; R20</w:t>
      </w:r>
      <w:r w:rsidRPr="00D60E8F">
        <w:rPr>
          <w:rFonts w:ascii="Cambria" w:hAnsi="Cambria"/>
          <w:b/>
          <w:sz w:val="28"/>
          <w:lang w:val="en-IN"/>
        </w:rPr>
        <w:t xml:space="preserve"> Regulations</w:t>
      </w:r>
    </w:p>
    <w:tbl>
      <w:tblPr>
        <w:tblW w:w="9216" w:type="dxa"/>
        <w:tblCellMar>
          <w:left w:w="0" w:type="dxa"/>
          <w:right w:w="0" w:type="dxa"/>
        </w:tblCellMar>
        <w:tblLook w:val="04A0"/>
      </w:tblPr>
      <w:tblGrid>
        <w:gridCol w:w="825"/>
        <w:gridCol w:w="7144"/>
        <w:gridCol w:w="1247"/>
      </w:tblGrid>
      <w:tr w:rsidR="00F01044" w:rsidRPr="00F01044" w:rsidTr="00AC133C">
        <w:trPr>
          <w:trHeight w:val="432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A4740E" w:rsidP="00AC133C">
            <w:pPr>
              <w:spacing w:after="0" w:line="240" w:lineRule="auto"/>
              <w:rPr>
                <w:rFonts w:ascii="Cambria" w:hAnsi="Cambria" w:cs="Calibri"/>
                <w:b/>
                <w:bCs/>
              </w:rPr>
            </w:pPr>
            <w:hyperlink r:id="rId4" w:tgtFrame="_blank" w:history="1">
              <w:r w:rsidR="00F01044" w:rsidRPr="00F01044">
                <w:rPr>
                  <w:rFonts w:ascii="Cambria" w:hAnsi="Cambria" w:cs="Calibri"/>
                  <w:b/>
                  <w:bCs/>
                </w:rPr>
                <w:t>S. NO</w:t>
              </w:r>
            </w:hyperlink>
          </w:p>
        </w:tc>
        <w:tc>
          <w:tcPr>
            <w:tcW w:w="7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  <w:b/>
                <w:bCs/>
              </w:rPr>
              <w:t>CONTENTS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  <w:b/>
                <w:bCs/>
              </w:rPr>
              <w:t>PAGE NO.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Details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123FFA" w:rsidP="00123FFA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Academic</w:t>
            </w:r>
            <w:r w:rsidR="00F01044" w:rsidRPr="00F01044">
              <w:rPr>
                <w:rFonts w:ascii="Cambria" w:hAnsi="Cambria" w:cs="Calibri"/>
              </w:rPr>
              <w:t xml:space="preserve"> Calendar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Time table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4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List of Students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5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Syllabus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6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Outcomes(CO), CO-PO-PSO Mapping,  Targets for CO Attainment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7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Lesson Plan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8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Details of content delivered beyond the syllabus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9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Question Bank-Unit wise (Descriptive &amp; Objective)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10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F01044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Continuous Alternate Assesment-1 (CAA1)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076183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CIE</w:t>
            </w:r>
            <w:r w:rsidRPr="00F01044">
              <w:rPr>
                <w:rFonts w:ascii="Cambria" w:hAnsi="Cambria" w:cs="Calibri"/>
              </w:rPr>
              <w:t>-1 Question Paper &amp; Scheme of  Evaluation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076183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Student Feedback analysis and Action taken-I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076183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Identification of Week &amp; Bright students and schedule for conduct of Remedial Classes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14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Continuous Alternate Assesment-2 (CAA2)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15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CIE</w:t>
            </w:r>
            <w:r w:rsidRPr="00F01044">
              <w:rPr>
                <w:rFonts w:ascii="Cambria" w:hAnsi="Cambria" w:cs="Calibri"/>
              </w:rPr>
              <w:t>-2 Question Paper &amp; Scheme of  Evaluation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16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Student Feedback analysis and Action taken-II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17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Details of Innovative Teaching / Pedagogical methods implemented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18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Consolidated Internal Marks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19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Improvement analysis-week students (I &amp; II mid marks analysis) &amp; bright students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20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Details of encouragement of Bright students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Previous years University Exam Question Papers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Outcome Attainment (COA)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University Results Analysis - Report on COA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24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Material-Unit wise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25</w:t>
            </w:r>
          </w:p>
        </w:tc>
        <w:tc>
          <w:tcPr>
            <w:tcW w:w="8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44" w:rsidRPr="00F01044" w:rsidRDefault="00F01044" w:rsidP="00AC133C">
            <w:pPr>
              <w:spacing w:after="0" w:line="240" w:lineRule="auto"/>
              <w:jc w:val="left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Google classroom link: </w:t>
            </w:r>
          </w:p>
        </w:tc>
      </w:tr>
    </w:tbl>
    <w:p w:rsidR="00F01044" w:rsidRDefault="00F01044">
      <w:pPr>
        <w:rPr>
          <w:lang w:val="en-IN"/>
        </w:rPr>
      </w:pPr>
    </w:p>
    <w:p w:rsidR="00F01044" w:rsidRPr="00F01044" w:rsidRDefault="00F01044">
      <w:pPr>
        <w:rPr>
          <w:lang w:val="en-IN"/>
        </w:rPr>
      </w:pPr>
    </w:p>
    <w:sectPr w:rsidR="00F01044" w:rsidRPr="00F01044" w:rsidSect="00AF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01044"/>
    <w:rsid w:val="00100863"/>
    <w:rsid w:val="00123FFA"/>
    <w:rsid w:val="0066470E"/>
    <w:rsid w:val="006A5335"/>
    <w:rsid w:val="00835F96"/>
    <w:rsid w:val="009E3B1A"/>
    <w:rsid w:val="00A4740E"/>
    <w:rsid w:val="00A8127E"/>
    <w:rsid w:val="00AA7F72"/>
    <w:rsid w:val="00AF1CDA"/>
    <w:rsid w:val="00B61E5E"/>
    <w:rsid w:val="00D32C45"/>
    <w:rsid w:val="00D60E8F"/>
    <w:rsid w:val="00DE3BF4"/>
    <w:rsid w:val="00F01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44"/>
    <w:pPr>
      <w:spacing w:after="200" w:line="276" w:lineRule="auto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MY PC</cp:lastModifiedBy>
  <cp:revision>2</cp:revision>
  <dcterms:created xsi:type="dcterms:W3CDTF">2021-05-19T11:38:00Z</dcterms:created>
  <dcterms:modified xsi:type="dcterms:W3CDTF">2021-05-19T11:38:00Z</dcterms:modified>
</cp:coreProperties>
</file>