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2038" w14:textId="01455B7E" w:rsidR="002432B6" w:rsidRDefault="00FF4F4C">
      <w:r>
        <w:t>3 phase, braided secondary underbuild and comm lines</w:t>
      </w:r>
    </w:p>
    <w:sectPr w:rsidR="0024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B6"/>
    <w:rsid w:val="002432B6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D990"/>
  <w15:chartTrackingRefBased/>
  <w15:docId w15:val="{83D03322-C9D8-4855-8594-2BE82A9D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Suttle</dc:creator>
  <cp:keywords/>
  <dc:description/>
  <cp:lastModifiedBy>Ryan Suttle</cp:lastModifiedBy>
  <cp:revision>2</cp:revision>
  <dcterms:created xsi:type="dcterms:W3CDTF">2020-05-21T20:27:00Z</dcterms:created>
  <dcterms:modified xsi:type="dcterms:W3CDTF">2020-05-21T20:28:00Z</dcterms:modified>
</cp:coreProperties>
</file>