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-75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420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TC_UI_7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Color mode 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Color mode 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19.9.2024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color w:val="008000"/>
                <w:rtl w:val="0"/>
              </w:rPr>
              <w:t xml:space="preserve">, if we are able to switch between color modes on our website.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The webpage must be accessible, Color switch button must be accessible.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-105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Open the main webpage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https://www.jimms.fi/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should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Click on Color mode  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color modes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the light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site switches to light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.9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the dark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site switches to dark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the automatic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site switches to automatic mode - adjusts the color based off user’s browser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