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2F5597"/>
          <w:sz w:val="26"/>
        </w:rPr>
        <w:t>NETWORKWALKS</w:t>
      </w:r>
    </w:p>
    <w:p>
      <w:pPr>
        <w:jc w:val="center"/>
      </w:pPr>
      <w:r>
        <w:rPr>
          <w:b/>
          <w:color w:val="17365D"/>
          <w:sz w:val="58"/>
        </w:rPr>
        <w:t>Penetration Testing Report</w:t>
      </w:r>
    </w:p>
    <w:p>
      <w:pPr>
        <w:jc w:val="center"/>
      </w:pPr>
      <w:r>
        <w:rPr>
          <w:b/>
          <w:color w:val="1F2937"/>
          <w:sz w:val="44"/>
        </w:rPr>
        <w:t>Mediroza General Hospital</w:t>
      </w:r>
    </w:p>
    <w:p>
      <w:pPr>
        <w:jc w:val="center"/>
      </w:pPr>
      <w:r>
        <w:rPr>
          <w:color w:val="6B7280"/>
          <w:sz w:val="26"/>
        </w:rPr>
        <w:t>Week 4 — Black-box Penetration Test</w:t>
      </w:r>
    </w:p>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7365D"/>
          </w:tcPr>
          <w:p>
            <w:pPr>
              <w:spacing w:after="0"/>
            </w:pPr>
            <w:r/>
            <w:r>
              <w:rPr>
                <w:rFonts w:ascii="Aptos" w:hAnsi="Aptos"/>
                <w:b/>
                <w:color w:val="FFFFFF"/>
                <w:sz w:val="19"/>
              </w:rPr>
              <w:t>Engagement Detail</w:t>
            </w:r>
          </w:p>
        </w:tc>
        <w:tc>
          <w:tcPr>
            <w:tcW w:type="dxa" w:w="6912"/>
            <w:vAlign w:val="center"/>
            <w:shd w:fill="17365D"/>
          </w:tcPr>
          <w:p>
            <w:pPr>
              <w:spacing w:after="0"/>
            </w:pPr>
            <w:r/>
            <w:r>
              <w:rPr>
                <w:rFonts w:ascii="Aptos" w:hAnsi="Aptos"/>
                <w:b/>
                <w:color w:val="FFFFFF"/>
                <w:sz w:val="19"/>
              </w:rPr>
              <w:t>Value</w:t>
            </w:r>
          </w:p>
        </w:tc>
      </w:tr>
      <w:tr>
        <w:tc>
          <w:tcPr>
            <w:tcW w:type="dxa" w:w="2592"/>
            <w:vAlign w:val="center"/>
            <w:shd w:fill="F2F4F7"/>
          </w:tcPr>
          <w:p>
            <w:pPr>
              <w:spacing w:after="0"/>
            </w:pPr>
            <w:r/>
            <w:r>
              <w:rPr>
                <w:rFonts w:ascii="Aptos" w:hAnsi="Aptos"/>
                <w:b w:val="0"/>
                <w:color w:val="1F2937"/>
                <w:sz w:val="19"/>
              </w:rPr>
              <w:t>Client</w:t>
            </w:r>
          </w:p>
        </w:tc>
        <w:tc>
          <w:tcPr>
            <w:tcW w:type="dxa" w:w="6912"/>
            <w:vAlign w:val="center"/>
            <w:shd w:fill="F2F4F7"/>
          </w:tcPr>
          <w:p>
            <w:pPr>
              <w:spacing w:after="0"/>
            </w:pPr>
            <w:r/>
            <w:r>
              <w:rPr>
                <w:rFonts w:ascii="Aptos" w:hAnsi="Aptos"/>
                <w:b w:val="0"/>
                <w:color w:val="1F2937"/>
                <w:sz w:val="19"/>
              </w:rPr>
              <w:t>Mediroza General Hospital</w:t>
            </w:r>
          </w:p>
        </w:tc>
      </w:tr>
      <w:tr>
        <w:tc>
          <w:tcPr>
            <w:tcW w:type="dxa" w:w="2592"/>
            <w:vAlign w:val="center"/>
          </w:tcPr>
          <w:p>
            <w:pPr>
              <w:spacing w:after="0"/>
            </w:pPr>
            <w:r/>
            <w:r>
              <w:rPr>
                <w:rFonts w:ascii="Aptos" w:hAnsi="Aptos"/>
                <w:b w:val="0"/>
                <w:color w:val="1F2937"/>
                <w:sz w:val="19"/>
              </w:rPr>
              <w:t>Target</w:t>
            </w:r>
          </w:p>
        </w:tc>
        <w:tc>
          <w:tcPr>
            <w:tcW w:type="dxa" w:w="6912"/>
            <w:vAlign w:val="center"/>
          </w:tcPr>
          <w:p>
            <w:pPr>
              <w:spacing w:after="0"/>
            </w:pPr>
            <w:r/>
            <w:r>
              <w:rPr>
                <w:rFonts w:ascii="Aptos" w:hAnsi="Aptos"/>
                <w:b w:val="0"/>
                <w:color w:val="1F2937"/>
                <w:sz w:val="19"/>
              </w:rPr>
              <w:t>https://medirozahospital.com</w:t>
            </w:r>
          </w:p>
        </w:tc>
      </w:tr>
      <w:tr>
        <w:tc>
          <w:tcPr>
            <w:tcW w:type="dxa" w:w="2592"/>
            <w:vAlign w:val="center"/>
            <w:shd w:fill="F2F4F7"/>
          </w:tcPr>
          <w:p>
            <w:pPr>
              <w:spacing w:after="0"/>
            </w:pPr>
            <w:r/>
            <w:r>
              <w:rPr>
                <w:rFonts w:ascii="Aptos" w:hAnsi="Aptos"/>
                <w:b w:val="0"/>
                <w:color w:val="1F2937"/>
                <w:sz w:val="19"/>
              </w:rPr>
              <w:t>Assessment Type</w:t>
            </w:r>
          </w:p>
        </w:tc>
        <w:tc>
          <w:tcPr>
            <w:tcW w:type="dxa" w:w="6912"/>
            <w:vAlign w:val="center"/>
            <w:shd w:fill="F2F4F7"/>
          </w:tcPr>
          <w:p>
            <w:pPr>
              <w:spacing w:after="0"/>
            </w:pPr>
            <w:r/>
            <w:r>
              <w:rPr>
                <w:rFonts w:ascii="Aptos" w:hAnsi="Aptos"/>
                <w:b w:val="0"/>
                <w:color w:val="1F2937"/>
                <w:sz w:val="19"/>
              </w:rPr>
              <w:t>Black-box penetration test</w:t>
            </w:r>
          </w:p>
        </w:tc>
      </w:tr>
      <w:tr>
        <w:tc>
          <w:tcPr>
            <w:tcW w:type="dxa" w:w="2592"/>
            <w:vAlign w:val="center"/>
          </w:tcPr>
          <w:p>
            <w:pPr>
              <w:spacing w:after="0"/>
            </w:pPr>
            <w:r/>
            <w:r>
              <w:rPr>
                <w:rFonts w:ascii="Aptos" w:hAnsi="Aptos"/>
                <w:b w:val="0"/>
                <w:color w:val="1F2937"/>
                <w:sz w:val="19"/>
              </w:rPr>
              <w:t>Duration</w:t>
            </w:r>
          </w:p>
        </w:tc>
        <w:tc>
          <w:tcPr>
            <w:tcW w:type="dxa" w:w="6912"/>
            <w:vAlign w:val="center"/>
          </w:tcPr>
          <w:p>
            <w:pPr>
              <w:spacing w:after="0"/>
            </w:pPr>
            <w:r/>
            <w:r>
              <w:rPr>
                <w:rFonts w:ascii="Aptos" w:hAnsi="Aptos"/>
                <w:b w:val="0"/>
                <w:color w:val="1F2937"/>
                <w:sz w:val="19"/>
              </w:rPr>
              <w:t>5 days</w:t>
            </w:r>
          </w:p>
        </w:tc>
      </w:tr>
      <w:tr>
        <w:tc>
          <w:tcPr>
            <w:tcW w:type="dxa" w:w="2592"/>
            <w:vAlign w:val="center"/>
            <w:shd w:fill="F2F4F7"/>
          </w:tcPr>
          <w:p>
            <w:pPr>
              <w:spacing w:after="0"/>
            </w:pPr>
            <w:r/>
            <w:r>
              <w:rPr>
                <w:rFonts w:ascii="Aptos" w:hAnsi="Aptos"/>
                <w:b w:val="0"/>
                <w:color w:val="1F2937"/>
                <w:sz w:val="19"/>
              </w:rPr>
              <w:t>Authorization</w:t>
            </w:r>
          </w:p>
        </w:tc>
        <w:tc>
          <w:tcPr>
            <w:tcW w:type="dxa" w:w="6912"/>
            <w:vAlign w:val="center"/>
            <w:shd w:fill="F2F4F7"/>
          </w:tcPr>
          <w:p>
            <w:pPr>
              <w:spacing w:after="0"/>
            </w:pPr>
            <w:r/>
            <w:r>
              <w:rPr>
                <w:rFonts w:ascii="Aptos" w:hAnsi="Aptos"/>
                <w:b w:val="0"/>
                <w:color w:val="1F2937"/>
                <w:sz w:val="19"/>
              </w:rPr>
              <w:t>Written authorization provided</w:t>
            </w:r>
          </w:p>
        </w:tc>
      </w:tr>
      <w:tr>
        <w:tc>
          <w:tcPr>
            <w:tcW w:type="dxa" w:w="2592"/>
            <w:vAlign w:val="center"/>
          </w:tcPr>
          <w:p>
            <w:pPr>
              <w:spacing w:after="0"/>
            </w:pPr>
            <w:r/>
            <w:r>
              <w:rPr>
                <w:rFonts w:ascii="Aptos" w:hAnsi="Aptos"/>
                <w:b w:val="0"/>
                <w:color w:val="1F2937"/>
                <w:sz w:val="19"/>
              </w:rPr>
              <w:t>Scope</w:t>
            </w:r>
          </w:p>
        </w:tc>
        <w:tc>
          <w:tcPr>
            <w:tcW w:type="dxa" w:w="6912"/>
            <w:vAlign w:val="center"/>
          </w:tcPr>
          <w:p>
            <w:pPr>
              <w:spacing w:after="0"/>
            </w:pPr>
            <w:r/>
            <w:r>
              <w:rPr>
                <w:rFonts w:ascii="Aptos" w:hAnsi="Aptos"/>
                <w:b w:val="0"/>
                <w:color w:val="1F2937"/>
                <w:sz w:val="19"/>
              </w:rPr>
              <w:t>Full black-box pentest of the authorized target domain</w:t>
            </w:r>
          </w:p>
        </w:tc>
      </w:tr>
    </w:tbl>
    <w:p/>
    <w:tbl>
      <w:tblPr>
        <w:tblW w:type="auto" w:w="0"/>
        <w:jc w:val="center"/>
        <w:tblLook w:firstColumn="1" w:firstRow="1" w:lastColumn="0" w:lastRow="0" w:noHBand="0" w:noVBand="1" w:val="04A0"/>
      </w:tblPr>
      <w:tblGrid>
        <w:gridCol w:w="9936"/>
      </w:tblGrid>
      <w:tr>
        <w:tc>
          <w:tcPr>
            <w:tcW w:type="dxa" w:w="9936"/>
            <w:shd w:fill="FFF2CC"/>
          </w:tcPr>
          <w:p>
            <w:pPr>
              <w:spacing w:after="80"/>
            </w:pPr>
            <w:r>
              <w:rPr>
                <w:b/>
                <w:color w:val="7F6000"/>
                <w:sz w:val="21"/>
              </w:rPr>
              <w:t>Report status</w:t>
            </w:r>
          </w:p>
          <w:p>
            <w:pPr>
              <w:spacing w:after="0"/>
            </w:pPr>
            <w:r>
              <w:rPr>
                <w:color w:val="1F2937"/>
                <w:sz w:val="19"/>
              </w:rPr>
              <w:t>Evidence-ready M4 report. This document is based strictly on the supplied project README. No M1–M3 findings are invented here; confirmed technical findings, screenshots, and risk ratings must be inserted from the actual assessment evidence before final submission.</w:t>
            </w:r>
          </w:p>
        </w:tc>
      </w:tr>
    </w:tbl>
    <w:p/>
    <w:p>
      <w:pPr>
        <w:jc w:val="center"/>
      </w:pPr>
      <w:r>
        <w:rPr>
          <w:i/>
          <w:color w:val="6B7280"/>
          <w:sz w:val="19"/>
        </w:rPr>
        <w:t>Prepared for instructor submission</w:t>
      </w:r>
    </w:p>
    <w:p>
      <w:r>
        <w:br w:type="page"/>
      </w:r>
    </w:p>
    <w:p>
      <w:pPr>
        <w:pStyle w:val="Heading1"/>
      </w:pPr>
      <w:r>
        <w:t>1. Executive Summary</w:t>
      </w:r>
    </w:p>
    <w:p>
      <w:r>
        <w:t>Networkwalks Batch B083 Week 4 defines a five-day black-box penetration test against the Mediroza General Hospital training target. The engagement is intended to demonstrate a realistic assessment lifecycle: obtain initial access, recover protected data, trace that access to a larger server-side exposure, and document the results in a client-facing report.</w:t>
      </w:r>
    </w:p>
    <w:p>
      <w:r>
        <w:t>The supplied project documentation defines four milestones. M1 focuses on discovering entry points and obtaining three confidential patient PDF lab reports. M2 focuses on analyzing and recovering the contents of all three protected files. M3 focuses on identifying the larger data exposure, including hospital employee salaries and shareholder details. M4 is the formal report.</w:t>
      </w:r>
    </w:p>
    <w:tbl>
      <w:tblPr>
        <w:tblW w:type="auto" w:w="0"/>
        <w:jc w:val="center"/>
        <w:tblLook w:firstColumn="1" w:firstRow="1" w:lastColumn="0" w:lastRow="0" w:noHBand="0" w:noVBand="1" w:val="04A0"/>
      </w:tblPr>
      <w:tblGrid>
        <w:gridCol w:w="9936"/>
      </w:tblGrid>
      <w:tr>
        <w:tc>
          <w:tcPr>
            <w:tcW w:type="dxa" w:w="9936"/>
            <w:shd w:fill="D9EAF7"/>
          </w:tcPr>
          <w:p>
            <w:pPr>
              <w:spacing w:after="80"/>
            </w:pPr>
            <w:r>
              <w:rPr>
                <w:b/>
                <w:color w:val="17365D"/>
                <w:sz w:val="21"/>
              </w:rPr>
              <w:t>Executive conclusion</w:t>
            </w:r>
          </w:p>
          <w:p>
            <w:pPr>
              <w:spacing w:after="0"/>
            </w:pPr>
            <w:r>
              <w:rPr>
                <w:color w:val="1F2937"/>
                <w:sz w:val="19"/>
              </w:rPr>
              <w:t>The project README does not contain the actual M1–M3 test results. Therefore, this report intentionally does not claim that a particular vulnerability was successfully exploited or assign a final overall risk rating. Those conclusions belong here only after the corresponding evidence has been collected and reviewed.</w:t>
            </w:r>
          </w:p>
        </w:tc>
      </w:tr>
    </w:tbl>
    <w:p/>
    <w:p>
      <w:pPr>
        <w:pStyle w:val="Heading1"/>
      </w:pPr>
      <w:r>
        <w:t>2. Scope and Methodology</w:t>
      </w:r>
    </w:p>
    <w:p>
      <w:pPr>
        <w:pStyle w:val="Heading2"/>
      </w:pPr>
      <w:r>
        <w:t>2.1 Engagement Scope</w:t>
      </w:r>
    </w:p>
    <w:tbl>
      <w:tblPr>
        <w:tblStyle w:val="TableGrid"/>
        <w:tblW w:type="auto" w:w="0"/>
        <w:jc w:val="center"/>
        <w:tblLook w:firstColumn="1" w:firstRow="1" w:lastColumn="0" w:lastRow="0" w:noHBand="0" w:noVBand="1" w:val="04A0"/>
      </w:tblPr>
      <w:tblGrid>
        <w:gridCol w:w="4968"/>
        <w:gridCol w:w="4968"/>
      </w:tblGrid>
      <w:tr>
        <w:tc>
          <w:tcPr>
            <w:tcW w:type="dxa" w:w="2736"/>
            <w:vAlign w:val="center"/>
            <w:shd w:fill="17365D"/>
          </w:tcPr>
          <w:p>
            <w:pPr>
              <w:spacing w:after="0"/>
            </w:pPr>
            <w:r/>
            <w:r>
              <w:rPr>
                <w:rFonts w:ascii="Aptos" w:hAnsi="Aptos"/>
                <w:b/>
                <w:color w:val="FFFFFF"/>
                <w:sz w:val="19"/>
              </w:rPr>
              <w:t>Field</w:t>
            </w:r>
          </w:p>
        </w:tc>
        <w:tc>
          <w:tcPr>
            <w:tcW w:type="dxa" w:w="6768"/>
            <w:vAlign w:val="center"/>
            <w:shd w:fill="17365D"/>
          </w:tcPr>
          <w:p>
            <w:pPr>
              <w:spacing w:after="0"/>
            </w:pPr>
            <w:r/>
            <w:r>
              <w:rPr>
                <w:rFonts w:ascii="Aptos" w:hAnsi="Aptos"/>
                <w:b/>
                <w:color w:val="FFFFFF"/>
                <w:sz w:val="19"/>
              </w:rPr>
              <w:t>Assessment Scope</w:t>
            </w:r>
          </w:p>
        </w:tc>
      </w:tr>
      <w:tr>
        <w:tc>
          <w:tcPr>
            <w:tcW w:type="dxa" w:w="2736"/>
            <w:vAlign w:val="center"/>
            <w:shd w:fill="F2F4F7"/>
          </w:tcPr>
          <w:p>
            <w:pPr>
              <w:spacing w:after="0"/>
            </w:pPr>
            <w:r/>
            <w:r>
              <w:rPr>
                <w:rFonts w:ascii="Aptos" w:hAnsi="Aptos"/>
                <w:b w:val="0"/>
                <w:color w:val="1F2937"/>
                <w:sz w:val="19"/>
              </w:rPr>
              <w:t>Client</w:t>
            </w:r>
          </w:p>
        </w:tc>
        <w:tc>
          <w:tcPr>
            <w:tcW w:type="dxa" w:w="6768"/>
            <w:vAlign w:val="center"/>
            <w:shd w:fill="F2F4F7"/>
          </w:tcPr>
          <w:p>
            <w:pPr>
              <w:spacing w:after="0"/>
            </w:pPr>
            <w:r/>
            <w:r>
              <w:rPr>
                <w:rFonts w:ascii="Aptos" w:hAnsi="Aptos"/>
                <w:b w:val="0"/>
                <w:color w:val="1F2937"/>
                <w:sz w:val="19"/>
              </w:rPr>
              <w:t>Mediroza General Hospital</w:t>
            </w:r>
          </w:p>
        </w:tc>
      </w:tr>
      <w:tr>
        <w:tc>
          <w:tcPr>
            <w:tcW w:type="dxa" w:w="2736"/>
            <w:vAlign w:val="center"/>
          </w:tcPr>
          <w:p>
            <w:pPr>
              <w:spacing w:after="0"/>
            </w:pPr>
            <w:r/>
            <w:r>
              <w:rPr>
                <w:rFonts w:ascii="Aptos" w:hAnsi="Aptos"/>
                <w:b w:val="0"/>
                <w:color w:val="1F2937"/>
                <w:sz w:val="19"/>
              </w:rPr>
              <w:t>Target</w:t>
            </w:r>
          </w:p>
        </w:tc>
        <w:tc>
          <w:tcPr>
            <w:tcW w:type="dxa" w:w="6768"/>
            <w:vAlign w:val="center"/>
          </w:tcPr>
          <w:p>
            <w:pPr>
              <w:spacing w:after="0"/>
            </w:pPr>
            <w:r/>
            <w:r>
              <w:rPr>
                <w:rFonts w:ascii="Aptos" w:hAnsi="Aptos"/>
                <w:b w:val="0"/>
                <w:color w:val="1F2937"/>
                <w:sz w:val="19"/>
              </w:rPr>
              <w:t>https://medirozahospital.com</w:t>
            </w:r>
          </w:p>
        </w:tc>
      </w:tr>
      <w:tr>
        <w:tc>
          <w:tcPr>
            <w:tcW w:type="dxa" w:w="2736"/>
            <w:vAlign w:val="center"/>
            <w:shd w:fill="F2F4F7"/>
          </w:tcPr>
          <w:p>
            <w:pPr>
              <w:spacing w:after="0"/>
            </w:pPr>
            <w:r/>
            <w:r>
              <w:rPr>
                <w:rFonts w:ascii="Aptos" w:hAnsi="Aptos"/>
                <w:b w:val="0"/>
                <w:color w:val="1F2937"/>
                <w:sz w:val="19"/>
              </w:rPr>
              <w:t>Type</w:t>
            </w:r>
          </w:p>
        </w:tc>
        <w:tc>
          <w:tcPr>
            <w:tcW w:type="dxa" w:w="6768"/>
            <w:vAlign w:val="center"/>
            <w:shd w:fill="F2F4F7"/>
          </w:tcPr>
          <w:p>
            <w:pPr>
              <w:spacing w:after="0"/>
            </w:pPr>
            <w:r/>
            <w:r>
              <w:rPr>
                <w:rFonts w:ascii="Aptos" w:hAnsi="Aptos"/>
                <w:b w:val="0"/>
                <w:color w:val="1F2937"/>
                <w:sz w:val="19"/>
              </w:rPr>
              <w:t>Black-box penetration test</w:t>
            </w:r>
          </w:p>
        </w:tc>
      </w:tr>
      <w:tr>
        <w:tc>
          <w:tcPr>
            <w:tcW w:type="dxa" w:w="2736"/>
            <w:vAlign w:val="center"/>
          </w:tcPr>
          <w:p>
            <w:pPr>
              <w:spacing w:after="0"/>
            </w:pPr>
            <w:r/>
            <w:r>
              <w:rPr>
                <w:rFonts w:ascii="Aptos" w:hAnsi="Aptos"/>
                <w:b w:val="0"/>
                <w:color w:val="1F2937"/>
                <w:sz w:val="19"/>
              </w:rPr>
              <w:t>Duration</w:t>
            </w:r>
          </w:p>
        </w:tc>
        <w:tc>
          <w:tcPr>
            <w:tcW w:type="dxa" w:w="6768"/>
            <w:vAlign w:val="center"/>
          </w:tcPr>
          <w:p>
            <w:pPr>
              <w:spacing w:after="0"/>
            </w:pPr>
            <w:r/>
            <w:r>
              <w:rPr>
                <w:rFonts w:ascii="Aptos" w:hAnsi="Aptos"/>
                <w:b w:val="0"/>
                <w:color w:val="1F2937"/>
                <w:sz w:val="19"/>
              </w:rPr>
              <w:t>5 days</w:t>
            </w:r>
          </w:p>
        </w:tc>
      </w:tr>
      <w:tr>
        <w:tc>
          <w:tcPr>
            <w:tcW w:type="dxa" w:w="2736"/>
            <w:vAlign w:val="center"/>
            <w:shd w:fill="F2F4F7"/>
          </w:tcPr>
          <w:p>
            <w:pPr>
              <w:spacing w:after="0"/>
            </w:pPr>
            <w:r/>
            <w:r>
              <w:rPr>
                <w:rFonts w:ascii="Aptos" w:hAnsi="Aptos"/>
                <w:b w:val="0"/>
                <w:color w:val="1F2937"/>
                <w:sz w:val="19"/>
              </w:rPr>
              <w:t>Testing boundary</w:t>
            </w:r>
          </w:p>
        </w:tc>
        <w:tc>
          <w:tcPr>
            <w:tcW w:type="dxa" w:w="6768"/>
            <w:vAlign w:val="center"/>
            <w:shd w:fill="F2F4F7"/>
          </w:tcPr>
          <w:p>
            <w:pPr>
              <w:spacing w:after="0"/>
            </w:pPr>
            <w:r/>
            <w:r>
              <w:rPr>
                <w:rFonts w:ascii="Aptos" w:hAnsi="Aptos"/>
                <w:b w:val="0"/>
                <w:color w:val="1F2937"/>
                <w:sz w:val="19"/>
              </w:rPr>
              <w:t>Target domain only</w:t>
            </w:r>
          </w:p>
        </w:tc>
      </w:tr>
      <w:tr>
        <w:tc>
          <w:tcPr>
            <w:tcW w:type="dxa" w:w="2736"/>
            <w:vAlign w:val="center"/>
          </w:tcPr>
          <w:p>
            <w:pPr>
              <w:spacing w:after="0"/>
            </w:pPr>
            <w:r/>
            <w:r>
              <w:rPr>
                <w:rFonts w:ascii="Aptos" w:hAnsi="Aptos"/>
                <w:b w:val="0"/>
                <w:color w:val="1F2937"/>
                <w:sz w:val="19"/>
              </w:rPr>
              <w:t>Explicit exclusions</w:t>
            </w:r>
          </w:p>
        </w:tc>
        <w:tc>
          <w:tcPr>
            <w:tcW w:type="dxa" w:w="6768"/>
            <w:vAlign w:val="center"/>
          </w:tcPr>
          <w:p>
            <w:pPr>
              <w:spacing w:after="0"/>
            </w:pPr>
            <w:r/>
            <w:r>
              <w:rPr>
                <w:rFonts w:ascii="Aptos" w:hAnsi="Aptos"/>
                <w:b w:val="0"/>
                <w:color w:val="1F2937"/>
                <w:sz w:val="19"/>
              </w:rPr>
              <w:t>Social engineering; denial of service; testing outside agreed scope</w:t>
            </w:r>
          </w:p>
        </w:tc>
      </w:tr>
      <w:tr>
        <w:tc>
          <w:tcPr>
            <w:tcW w:type="dxa" w:w="2736"/>
            <w:vAlign w:val="center"/>
            <w:shd w:fill="F2F4F7"/>
          </w:tcPr>
          <w:p>
            <w:pPr>
              <w:spacing w:after="0"/>
            </w:pPr>
            <w:r/>
            <w:r>
              <w:rPr>
                <w:rFonts w:ascii="Aptos" w:hAnsi="Aptos"/>
                <w:b w:val="0"/>
                <w:color w:val="1F2937"/>
                <w:sz w:val="19"/>
              </w:rPr>
              <w:t>Authorization</w:t>
            </w:r>
          </w:p>
        </w:tc>
        <w:tc>
          <w:tcPr>
            <w:tcW w:type="dxa" w:w="6768"/>
            <w:vAlign w:val="center"/>
            <w:shd w:fill="F2F4F7"/>
          </w:tcPr>
          <w:p>
            <w:pPr>
              <w:spacing w:after="0"/>
            </w:pPr>
            <w:r/>
            <w:r>
              <w:rPr>
                <w:rFonts w:ascii="Aptos" w:hAnsi="Aptos"/>
                <w:b w:val="0"/>
                <w:color w:val="1F2937"/>
                <w:sz w:val="19"/>
              </w:rPr>
              <w:t>Written authorization provided for the engagement</w:t>
            </w:r>
          </w:p>
        </w:tc>
      </w:tr>
    </w:tbl>
    <w:p/>
    <w:p>
      <w:pPr>
        <w:pStyle w:val="Heading2"/>
      </w:pPr>
      <w:r>
        <w:t>2.2 Assessment Methodology</w:t>
      </w:r>
    </w:p>
    <w:p>
      <w:r>
        <w:t>The README describes the intended methodology as a standard black-box web-application workflow with milestone-specific analysis. The sequence below preserves that methodology without assuming a confirmed attack path.</w:t>
      </w:r>
    </w:p>
    <w:p>
      <w:pPr>
        <w:pStyle w:val="ListNumber"/>
        <w:spacing w:after="40"/>
      </w:pPr>
      <w:r>
        <w:t>Reconnaissance — review the site manually and use standard discovery tools such as whois, nslookup/dnsrecon, and whatweb; inspect view-source, robots.txt, sitemap.xml, and JavaScript for unlinked endpoints.</w:t>
      </w:r>
    </w:p>
    <w:p>
      <w:pPr>
        <w:pStyle w:val="ListNumber"/>
        <w:spacing w:after="40"/>
      </w:pPr>
      <w:r>
        <w:t>Enumeration — map pages, forms, parameters, and potentially hidden content with directory/content discovery tools such as gobuster, ffuf, or dirb.</w:t>
      </w:r>
    </w:p>
    <w:p>
      <w:pPr>
        <w:pStyle w:val="ListNumber"/>
        <w:spacing w:after="40"/>
      </w:pPr>
      <w:r>
        <w:t>Authentication review — assess login, session handling, and password-reset behavior for weaknesses or predictable behavior.</w:t>
      </w:r>
    </w:p>
    <w:p>
      <w:pPr>
        <w:pStyle w:val="ListNumber"/>
        <w:spacing w:after="40"/>
      </w:pPr>
      <w:r>
        <w:t>Input-handling review — assess relevant application inputs and parameters for injection, broken access control, insecure file upload/download, and IDOR, using Burp Suite or OWASP ZAP for controlled request analysis.</w:t>
      </w:r>
    </w:p>
    <w:p>
      <w:pPr>
        <w:pStyle w:val="ListNumber"/>
        <w:spacing w:after="40"/>
      </w:pPr>
      <w:r>
        <w:t>Document-security analysis — for each of the three files, independently extract the protection/hash material and select an appropriate dictionary, brute-force, or alternative recovery method.</w:t>
      </w:r>
    </w:p>
    <w:p>
      <w:pPr>
        <w:pStyle w:val="ListNumber"/>
        <w:spacing w:after="40"/>
      </w:pPr>
      <w:r>
        <w:t>Exposure analysis — examine retrieved file properties and metadata, including author, software, revision history, and comments, to identify clues leading to further exposure.</w:t>
      </w:r>
    </w:p>
    <w:p>
      <w:pPr>
        <w:pStyle w:val="ListNumber"/>
        <w:spacing w:after="40"/>
      </w:pPr>
      <w:r>
        <w:t>Reporting — consolidate confirmed evidence, business impact, risk ratings, and remediation advice into the client-facing report.</w:t>
      </w:r>
    </w:p>
    <w:p>
      <w:pPr>
        <w:pStyle w:val="Heading2"/>
      </w:pPr>
      <w:r>
        <w:t>2.3 Methodology Tools Referenced by the Brief</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7365D"/>
          </w:tcPr>
          <w:p>
            <w:pPr>
              <w:spacing w:after="0"/>
            </w:pPr>
            <w:r/>
            <w:r>
              <w:rPr>
                <w:rFonts w:ascii="Aptos" w:hAnsi="Aptos"/>
                <w:b/>
                <w:color w:val="FFFFFF"/>
                <w:sz w:val="19"/>
              </w:rPr>
              <w:t>Area</w:t>
            </w:r>
          </w:p>
        </w:tc>
        <w:tc>
          <w:tcPr>
            <w:tcW w:type="dxa" w:w="7056"/>
            <w:vAlign w:val="center"/>
            <w:shd w:fill="17365D"/>
          </w:tcPr>
          <w:p>
            <w:pPr>
              <w:spacing w:after="0"/>
            </w:pPr>
            <w:r/>
            <w:r>
              <w:rPr>
                <w:rFonts w:ascii="Aptos" w:hAnsi="Aptos"/>
                <w:b/>
                <w:color w:val="FFFFFF"/>
                <w:sz w:val="19"/>
              </w:rPr>
              <w:t>Tools / Techniques referenced</w:t>
            </w:r>
          </w:p>
        </w:tc>
      </w:tr>
      <w:tr>
        <w:tc>
          <w:tcPr>
            <w:tcW w:type="dxa" w:w="2448"/>
            <w:vAlign w:val="center"/>
            <w:shd w:fill="F2F4F7"/>
          </w:tcPr>
          <w:p>
            <w:pPr>
              <w:spacing w:after="0"/>
            </w:pPr>
            <w:r/>
            <w:r>
              <w:rPr>
                <w:rFonts w:ascii="Aptos" w:hAnsi="Aptos"/>
                <w:b w:val="0"/>
                <w:color w:val="1F2937"/>
                <w:sz w:val="19"/>
              </w:rPr>
              <w:t>Reconnaissance</w:t>
            </w:r>
          </w:p>
        </w:tc>
        <w:tc>
          <w:tcPr>
            <w:tcW w:type="dxa" w:w="7056"/>
            <w:vAlign w:val="center"/>
            <w:shd w:fill="F2F4F7"/>
          </w:tcPr>
          <w:p>
            <w:pPr>
              <w:spacing w:after="0"/>
            </w:pPr>
            <w:r/>
            <w:r>
              <w:rPr>
                <w:rFonts w:ascii="Aptos" w:hAnsi="Aptos"/>
                <w:b w:val="0"/>
                <w:color w:val="1F2937"/>
                <w:sz w:val="19"/>
              </w:rPr>
              <w:t>whois; nslookup/dnsrecon; whatweb; manual browser review</w:t>
            </w:r>
          </w:p>
        </w:tc>
      </w:tr>
      <w:tr>
        <w:tc>
          <w:tcPr>
            <w:tcW w:type="dxa" w:w="2448"/>
            <w:vAlign w:val="center"/>
          </w:tcPr>
          <w:p>
            <w:pPr>
              <w:spacing w:after="0"/>
            </w:pPr>
            <w:r/>
            <w:r>
              <w:rPr>
                <w:rFonts w:ascii="Aptos" w:hAnsi="Aptos"/>
                <w:b w:val="0"/>
                <w:color w:val="1F2937"/>
                <w:sz w:val="19"/>
              </w:rPr>
              <w:t>Enumeration</w:t>
            </w:r>
          </w:p>
        </w:tc>
        <w:tc>
          <w:tcPr>
            <w:tcW w:type="dxa" w:w="7056"/>
            <w:vAlign w:val="center"/>
          </w:tcPr>
          <w:p>
            <w:pPr>
              <w:spacing w:after="0"/>
            </w:pPr>
            <w:r/>
            <w:r>
              <w:rPr>
                <w:rFonts w:ascii="Aptos" w:hAnsi="Aptos"/>
                <w:b w:val="0"/>
                <w:color w:val="1F2937"/>
                <w:sz w:val="19"/>
              </w:rPr>
              <w:t>gobuster; ffuf; dirb</w:t>
            </w:r>
          </w:p>
        </w:tc>
      </w:tr>
      <w:tr>
        <w:tc>
          <w:tcPr>
            <w:tcW w:type="dxa" w:w="2448"/>
            <w:vAlign w:val="center"/>
            <w:shd w:fill="F2F4F7"/>
          </w:tcPr>
          <w:p>
            <w:pPr>
              <w:spacing w:after="0"/>
            </w:pPr>
            <w:r/>
            <w:r>
              <w:rPr>
                <w:rFonts w:ascii="Aptos" w:hAnsi="Aptos"/>
                <w:b w:val="0"/>
                <w:color w:val="1F2937"/>
                <w:sz w:val="19"/>
              </w:rPr>
              <w:t>Web testing</w:t>
            </w:r>
          </w:p>
        </w:tc>
        <w:tc>
          <w:tcPr>
            <w:tcW w:type="dxa" w:w="7056"/>
            <w:vAlign w:val="center"/>
            <w:shd w:fill="F2F4F7"/>
          </w:tcPr>
          <w:p>
            <w:pPr>
              <w:spacing w:after="0"/>
            </w:pPr>
            <w:r/>
            <w:r>
              <w:rPr>
                <w:rFonts w:ascii="Aptos" w:hAnsi="Aptos"/>
                <w:b w:val="0"/>
                <w:color w:val="1F2937"/>
                <w:sz w:val="19"/>
              </w:rPr>
              <w:t>Burp Suite; OWASP ZAP</w:t>
            </w:r>
          </w:p>
        </w:tc>
      </w:tr>
      <w:tr>
        <w:tc>
          <w:tcPr>
            <w:tcW w:type="dxa" w:w="2448"/>
            <w:vAlign w:val="center"/>
          </w:tcPr>
          <w:p>
            <w:pPr>
              <w:spacing w:after="0"/>
            </w:pPr>
            <w:r/>
            <w:r>
              <w:rPr>
                <w:rFonts w:ascii="Aptos" w:hAnsi="Aptos"/>
                <w:b w:val="0"/>
                <w:color w:val="1F2937"/>
                <w:sz w:val="19"/>
              </w:rPr>
              <w:t>Document recovery</w:t>
            </w:r>
          </w:p>
        </w:tc>
        <w:tc>
          <w:tcPr>
            <w:tcW w:type="dxa" w:w="7056"/>
            <w:vAlign w:val="center"/>
          </w:tcPr>
          <w:p>
            <w:pPr>
              <w:spacing w:after="0"/>
            </w:pPr>
            <w:r/>
            <w:r>
              <w:rPr>
                <w:rFonts w:ascii="Aptos" w:hAnsi="Aptos"/>
                <w:b w:val="0"/>
                <w:color w:val="1F2937"/>
                <w:sz w:val="19"/>
              </w:rPr>
              <w:t>Hash extraction; dictionary/brute-force; file-specific analysis</w:t>
            </w:r>
          </w:p>
        </w:tc>
      </w:tr>
      <w:tr>
        <w:tc>
          <w:tcPr>
            <w:tcW w:type="dxa" w:w="2448"/>
            <w:vAlign w:val="center"/>
            <w:shd w:fill="F2F4F7"/>
          </w:tcPr>
          <w:p>
            <w:pPr>
              <w:spacing w:after="0"/>
            </w:pPr>
            <w:r/>
            <w:r>
              <w:rPr>
                <w:rFonts w:ascii="Aptos" w:hAnsi="Aptos"/>
                <w:b w:val="0"/>
                <w:color w:val="1F2937"/>
                <w:sz w:val="19"/>
              </w:rPr>
              <w:t>Metadata analysis</w:t>
            </w:r>
          </w:p>
        </w:tc>
        <w:tc>
          <w:tcPr>
            <w:tcW w:type="dxa" w:w="7056"/>
            <w:vAlign w:val="center"/>
            <w:shd w:fill="F2F4F7"/>
          </w:tcPr>
          <w:p>
            <w:pPr>
              <w:spacing w:after="0"/>
            </w:pPr>
            <w:r/>
            <w:r>
              <w:rPr>
                <w:rFonts w:ascii="Aptos" w:hAnsi="Aptos"/>
                <w:b w:val="0"/>
                <w:color w:val="1F2937"/>
                <w:sz w:val="19"/>
              </w:rPr>
              <w:t>Document properties; PDF metadata; embedded comments</w:t>
            </w:r>
          </w:p>
        </w:tc>
      </w:tr>
    </w:tbl>
    <w:p/>
    <w:p>
      <w:pPr>
        <w:pStyle w:val="Heading1"/>
      </w:pPr>
      <w:r>
        <w:t>3. Findings and Proof of Exploitation</w:t>
      </w:r>
    </w:p>
    <w:p>
      <w:r>
        <w:t>The README requires screenshots and evidence for every milestone. Because the supplied README contains methodology and deliverables but not the results of the actual testing, the finding records below are structured as evidence slots. Replace each pending section with the confirmed result and supporting screenshot(s) from the assessment.</w:t>
      </w:r>
    </w:p>
    <w:p>
      <w:pPr>
        <w:pStyle w:val="Heading2"/>
      </w:pPr>
      <w:r>
        <w:t>M1 — Initial Access</w:t>
      </w:r>
    </w:p>
    <w:p>
      <w:r>
        <w:t>Obtain access to the restricted area and retrieve three confidential patient PDF lab reports.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Aptos" w:hAnsi="Aptos"/>
                <w:b/>
                <w:color w:val="17365D"/>
                <w:sz w:val="19"/>
              </w:rPr>
              <w:t>Status</w:t>
            </w:r>
          </w:p>
        </w:tc>
        <w:tc>
          <w:tcPr>
            <w:tcW w:type="dxa" w:w="4968"/>
            <w:vAlign w:val="center"/>
          </w:tcPr>
          <w:p>
            <w:pPr>
              <w:spacing w:after="0"/>
            </w:pPr>
            <w:r/>
            <w:r>
              <w:rPr>
                <w:rFonts w:ascii="Aptos" w:hAnsi="Aptos"/>
                <w:b w:val="0"/>
                <w:color w:val="1F2937"/>
                <w:sz w:val="19"/>
              </w:rPr>
              <w:t>PENDING — replace with confirmed result</w:t>
            </w:r>
          </w:p>
        </w:tc>
      </w:tr>
      <w:tr>
        <w:tc>
          <w:tcPr>
            <w:tcW w:type="dxa" w:w="4968"/>
            <w:vAlign w:val="center"/>
            <w:shd w:fill="D9EAF7"/>
          </w:tcPr>
          <w:p>
            <w:pPr>
              <w:spacing w:after="0"/>
            </w:pPr>
            <w:r/>
            <w:r>
              <w:rPr>
                <w:rFonts w:ascii="Aptos" w:hAnsi="Aptos"/>
                <w:b/>
                <w:color w:val="17365D"/>
                <w:sz w:val="19"/>
              </w:rPr>
              <w:t>Finding / observation</w:t>
            </w:r>
          </w:p>
        </w:tc>
        <w:tc>
          <w:tcPr>
            <w:tcW w:type="dxa" w:w="4968"/>
            <w:vAlign w:val="center"/>
          </w:tcPr>
          <w:p>
            <w:pPr>
              <w:spacing w:after="0"/>
            </w:pPr>
            <w:r/>
            <w:r>
              <w:rPr>
                <w:rFonts w:ascii="Aptos" w:hAnsi="Aptos"/>
                <w:b w:val="0"/>
                <w:color w:val="1F2937"/>
                <w:sz w:val="19"/>
              </w:rPr>
              <w:t>PENDING — enter the actual confirmed technical finding</w:t>
            </w:r>
          </w:p>
        </w:tc>
      </w:tr>
      <w:tr>
        <w:tc>
          <w:tcPr>
            <w:tcW w:type="dxa" w:w="4968"/>
            <w:vAlign w:val="center"/>
            <w:shd w:fill="D9EAF7"/>
          </w:tcPr>
          <w:p>
            <w:pPr>
              <w:spacing w:after="0"/>
            </w:pPr>
            <w:r/>
            <w:r>
              <w:rPr>
                <w:rFonts w:ascii="Aptos" w:hAnsi="Aptos"/>
                <w:b/>
                <w:color w:val="17365D"/>
                <w:sz w:val="19"/>
              </w:rPr>
              <w:t>Proof</w:t>
            </w:r>
          </w:p>
        </w:tc>
        <w:tc>
          <w:tcPr>
            <w:tcW w:type="dxa" w:w="4968"/>
            <w:vAlign w:val="center"/>
          </w:tcPr>
          <w:p>
            <w:pPr>
              <w:spacing w:after="0"/>
            </w:pPr>
            <w:r/>
            <w:r>
              <w:rPr>
                <w:rFonts w:ascii="Aptos" w:hAnsi="Aptos"/>
                <w:b w:val="0"/>
                <w:color w:val="1F2937"/>
                <w:sz w:val="19"/>
              </w:rPr>
              <w:t>PENDING — insert screenshot references, request/response evidence, and artifact references</w:t>
            </w:r>
          </w:p>
        </w:tc>
      </w:tr>
      <w:tr>
        <w:tc>
          <w:tcPr>
            <w:tcW w:type="dxa" w:w="4968"/>
            <w:vAlign w:val="center"/>
            <w:shd w:fill="D9EAF7"/>
          </w:tcPr>
          <w:p>
            <w:pPr>
              <w:spacing w:after="0"/>
            </w:pPr>
            <w:r/>
            <w:r>
              <w:rPr>
                <w:rFonts w:ascii="Aptos" w:hAnsi="Aptos"/>
                <w:b/>
                <w:color w:val="17365D"/>
                <w:sz w:val="19"/>
              </w:rPr>
              <w:t>Impact</w:t>
            </w:r>
          </w:p>
        </w:tc>
        <w:tc>
          <w:tcPr>
            <w:tcW w:type="dxa" w:w="4968"/>
            <w:vAlign w:val="center"/>
          </w:tcPr>
          <w:p>
            <w:pPr>
              <w:spacing w:after="0"/>
            </w:pPr>
            <w:r/>
            <w:r>
              <w:rPr>
                <w:rFonts w:ascii="Aptos" w:hAnsi="Aptos"/>
                <w:b w:val="0"/>
                <w:color w:val="1F2937"/>
                <w:sz w:val="19"/>
              </w:rPr>
              <w:t>PENDING — describe the demonstrated confidentiality, integrity, or access-control impact</w:t>
            </w:r>
          </w:p>
        </w:tc>
      </w:tr>
      <w:tr>
        <w:tc>
          <w:tcPr>
            <w:tcW w:type="dxa" w:w="4968"/>
            <w:vAlign w:val="center"/>
            <w:shd w:fill="D9EAF7"/>
          </w:tcPr>
          <w:p>
            <w:pPr>
              <w:spacing w:after="0"/>
            </w:pPr>
            <w:r/>
            <w:r>
              <w:rPr>
                <w:rFonts w:ascii="Aptos" w:hAnsi="Aptos"/>
                <w:b/>
                <w:color w:val="17365D"/>
                <w:sz w:val="19"/>
              </w:rPr>
              <w:t>Evidence notes</w:t>
            </w:r>
          </w:p>
        </w:tc>
        <w:tc>
          <w:tcPr>
            <w:tcW w:type="dxa" w:w="4968"/>
            <w:vAlign w:val="center"/>
          </w:tcPr>
          <w:p>
            <w:pPr>
              <w:spacing w:after="0"/>
            </w:pPr>
            <w:r/>
            <w:r>
              <w:rPr>
                <w:rFonts w:ascii="Aptos" w:hAnsi="Aptos"/>
                <w:b w:val="0"/>
                <w:color w:val="1F2937"/>
                <w:sz w:val="19"/>
              </w:rPr>
              <w:t>Required evidence: reconnaissance result(s), relevant endpoint discovery, authentication/input-handling test evidence, proof of access, and the three retrieved PDF files or sanitized proof of retrieval.</w:t>
            </w:r>
          </w:p>
        </w:tc>
      </w:tr>
    </w:tbl>
    <w:p/>
    <w:p>
      <w:pPr>
        <w:pStyle w:val="Heading2"/>
      </w:pPr>
      <w:r>
        <w:t>M2 — Data Extraction</w:t>
      </w:r>
    </w:p>
    <w:p>
      <w:r>
        <w:t>Recover the contents of all three retrieved PDF files.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Aptos" w:hAnsi="Aptos"/>
                <w:b/>
                <w:color w:val="17365D"/>
                <w:sz w:val="19"/>
              </w:rPr>
              <w:t>Status</w:t>
            </w:r>
          </w:p>
        </w:tc>
        <w:tc>
          <w:tcPr>
            <w:tcW w:type="dxa" w:w="4968"/>
            <w:vAlign w:val="center"/>
          </w:tcPr>
          <w:p>
            <w:pPr>
              <w:spacing w:after="0"/>
            </w:pPr>
            <w:r/>
            <w:r>
              <w:rPr>
                <w:rFonts w:ascii="Aptos" w:hAnsi="Aptos"/>
                <w:b w:val="0"/>
                <w:color w:val="1F2937"/>
                <w:sz w:val="19"/>
              </w:rPr>
              <w:t>PENDING — replace with confirmed result</w:t>
            </w:r>
          </w:p>
        </w:tc>
      </w:tr>
      <w:tr>
        <w:tc>
          <w:tcPr>
            <w:tcW w:type="dxa" w:w="4968"/>
            <w:vAlign w:val="center"/>
            <w:shd w:fill="D9EAF7"/>
          </w:tcPr>
          <w:p>
            <w:pPr>
              <w:spacing w:after="0"/>
            </w:pPr>
            <w:r/>
            <w:r>
              <w:rPr>
                <w:rFonts w:ascii="Aptos" w:hAnsi="Aptos"/>
                <w:b/>
                <w:color w:val="17365D"/>
                <w:sz w:val="19"/>
              </w:rPr>
              <w:t>Finding / observation</w:t>
            </w:r>
          </w:p>
        </w:tc>
        <w:tc>
          <w:tcPr>
            <w:tcW w:type="dxa" w:w="4968"/>
            <w:vAlign w:val="center"/>
          </w:tcPr>
          <w:p>
            <w:pPr>
              <w:spacing w:after="0"/>
            </w:pPr>
            <w:r/>
            <w:r>
              <w:rPr>
                <w:rFonts w:ascii="Aptos" w:hAnsi="Aptos"/>
                <w:b w:val="0"/>
                <w:color w:val="1F2937"/>
                <w:sz w:val="19"/>
              </w:rPr>
              <w:t>PENDING — enter the actual confirmed technical finding</w:t>
            </w:r>
          </w:p>
        </w:tc>
      </w:tr>
      <w:tr>
        <w:tc>
          <w:tcPr>
            <w:tcW w:type="dxa" w:w="4968"/>
            <w:vAlign w:val="center"/>
            <w:shd w:fill="D9EAF7"/>
          </w:tcPr>
          <w:p>
            <w:pPr>
              <w:spacing w:after="0"/>
            </w:pPr>
            <w:r/>
            <w:r>
              <w:rPr>
                <w:rFonts w:ascii="Aptos" w:hAnsi="Aptos"/>
                <w:b/>
                <w:color w:val="17365D"/>
                <w:sz w:val="19"/>
              </w:rPr>
              <w:t>Proof</w:t>
            </w:r>
          </w:p>
        </w:tc>
        <w:tc>
          <w:tcPr>
            <w:tcW w:type="dxa" w:w="4968"/>
            <w:vAlign w:val="center"/>
          </w:tcPr>
          <w:p>
            <w:pPr>
              <w:spacing w:after="0"/>
            </w:pPr>
            <w:r/>
            <w:r>
              <w:rPr>
                <w:rFonts w:ascii="Aptos" w:hAnsi="Aptos"/>
                <w:b w:val="0"/>
                <w:color w:val="1F2937"/>
                <w:sz w:val="19"/>
              </w:rPr>
              <w:t>PENDING — insert screenshot references, request/response evidence, and artifact references</w:t>
            </w:r>
          </w:p>
        </w:tc>
      </w:tr>
      <w:tr>
        <w:tc>
          <w:tcPr>
            <w:tcW w:type="dxa" w:w="4968"/>
            <w:vAlign w:val="center"/>
            <w:shd w:fill="D9EAF7"/>
          </w:tcPr>
          <w:p>
            <w:pPr>
              <w:spacing w:after="0"/>
            </w:pPr>
            <w:r/>
            <w:r>
              <w:rPr>
                <w:rFonts w:ascii="Aptos" w:hAnsi="Aptos"/>
                <w:b/>
                <w:color w:val="17365D"/>
                <w:sz w:val="19"/>
              </w:rPr>
              <w:t>Impact</w:t>
            </w:r>
          </w:p>
        </w:tc>
        <w:tc>
          <w:tcPr>
            <w:tcW w:type="dxa" w:w="4968"/>
            <w:vAlign w:val="center"/>
          </w:tcPr>
          <w:p>
            <w:pPr>
              <w:spacing w:after="0"/>
            </w:pPr>
            <w:r/>
            <w:r>
              <w:rPr>
                <w:rFonts w:ascii="Aptos" w:hAnsi="Aptos"/>
                <w:b w:val="0"/>
                <w:color w:val="1F2937"/>
                <w:sz w:val="19"/>
              </w:rPr>
              <w:t>PENDING — describe the demonstrated confidentiality, integrity, or access-control impact</w:t>
            </w:r>
          </w:p>
        </w:tc>
      </w:tr>
      <w:tr>
        <w:tc>
          <w:tcPr>
            <w:tcW w:type="dxa" w:w="4968"/>
            <w:vAlign w:val="center"/>
            <w:shd w:fill="D9EAF7"/>
          </w:tcPr>
          <w:p>
            <w:pPr>
              <w:spacing w:after="0"/>
            </w:pPr>
            <w:r/>
            <w:r>
              <w:rPr>
                <w:rFonts w:ascii="Aptos" w:hAnsi="Aptos"/>
                <w:b/>
                <w:color w:val="17365D"/>
                <w:sz w:val="19"/>
              </w:rPr>
              <w:t>Evidence notes</w:t>
            </w:r>
          </w:p>
        </w:tc>
        <w:tc>
          <w:tcPr>
            <w:tcW w:type="dxa" w:w="4968"/>
            <w:vAlign w:val="center"/>
          </w:tcPr>
          <w:p>
            <w:pPr>
              <w:spacing w:after="0"/>
            </w:pPr>
            <w:r/>
            <w:r>
              <w:rPr>
                <w:rFonts w:ascii="Aptos" w:hAnsi="Aptos"/>
                <w:b w:val="0"/>
                <w:color w:val="1F2937"/>
                <w:sz w:val="19"/>
              </w:rPr>
              <w:t>Required evidence: per-file protection analysis, hash/protection extraction evidence, recovery method used for each file, recovered access proof, and sanitized documentation of recovered contents.</w:t>
            </w:r>
          </w:p>
        </w:tc>
      </w:tr>
    </w:tbl>
    <w:p/>
    <w:p>
      <w:pPr>
        <w:pStyle w:val="Heading2"/>
      </w:pPr>
      <w:r>
        <w:t>M3 — Data Exposure</w:t>
      </w:r>
    </w:p>
    <w:p>
      <w:r>
        <w:t>Identify the critical exposure that leads to hospital employee salary data and shareholder details.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Aptos" w:hAnsi="Aptos"/>
                <w:b/>
                <w:color w:val="17365D"/>
                <w:sz w:val="19"/>
              </w:rPr>
              <w:t>Status</w:t>
            </w:r>
          </w:p>
        </w:tc>
        <w:tc>
          <w:tcPr>
            <w:tcW w:type="dxa" w:w="4968"/>
            <w:vAlign w:val="center"/>
          </w:tcPr>
          <w:p>
            <w:pPr>
              <w:spacing w:after="0"/>
            </w:pPr>
            <w:r/>
            <w:r>
              <w:rPr>
                <w:rFonts w:ascii="Aptos" w:hAnsi="Aptos"/>
                <w:b w:val="0"/>
                <w:color w:val="1F2937"/>
                <w:sz w:val="19"/>
              </w:rPr>
              <w:t>PENDING — replace with confirmed result</w:t>
            </w:r>
          </w:p>
        </w:tc>
      </w:tr>
      <w:tr>
        <w:tc>
          <w:tcPr>
            <w:tcW w:type="dxa" w:w="4968"/>
            <w:vAlign w:val="center"/>
            <w:shd w:fill="D9EAF7"/>
          </w:tcPr>
          <w:p>
            <w:pPr>
              <w:spacing w:after="0"/>
            </w:pPr>
            <w:r/>
            <w:r>
              <w:rPr>
                <w:rFonts w:ascii="Aptos" w:hAnsi="Aptos"/>
                <w:b/>
                <w:color w:val="17365D"/>
                <w:sz w:val="19"/>
              </w:rPr>
              <w:t>Finding / observation</w:t>
            </w:r>
          </w:p>
        </w:tc>
        <w:tc>
          <w:tcPr>
            <w:tcW w:type="dxa" w:w="4968"/>
            <w:vAlign w:val="center"/>
          </w:tcPr>
          <w:p>
            <w:pPr>
              <w:spacing w:after="0"/>
            </w:pPr>
            <w:r/>
            <w:r>
              <w:rPr>
                <w:rFonts w:ascii="Aptos" w:hAnsi="Aptos"/>
                <w:b w:val="0"/>
                <w:color w:val="1F2937"/>
                <w:sz w:val="19"/>
              </w:rPr>
              <w:t>PENDING — enter the actual confirmed technical finding</w:t>
            </w:r>
          </w:p>
        </w:tc>
      </w:tr>
      <w:tr>
        <w:tc>
          <w:tcPr>
            <w:tcW w:type="dxa" w:w="4968"/>
            <w:vAlign w:val="center"/>
            <w:shd w:fill="D9EAF7"/>
          </w:tcPr>
          <w:p>
            <w:pPr>
              <w:spacing w:after="0"/>
            </w:pPr>
            <w:r/>
            <w:r>
              <w:rPr>
                <w:rFonts w:ascii="Aptos" w:hAnsi="Aptos"/>
                <w:b/>
                <w:color w:val="17365D"/>
                <w:sz w:val="19"/>
              </w:rPr>
              <w:t>Proof</w:t>
            </w:r>
          </w:p>
        </w:tc>
        <w:tc>
          <w:tcPr>
            <w:tcW w:type="dxa" w:w="4968"/>
            <w:vAlign w:val="center"/>
          </w:tcPr>
          <w:p>
            <w:pPr>
              <w:spacing w:after="0"/>
            </w:pPr>
            <w:r/>
            <w:r>
              <w:rPr>
                <w:rFonts w:ascii="Aptos" w:hAnsi="Aptos"/>
                <w:b w:val="0"/>
                <w:color w:val="1F2937"/>
                <w:sz w:val="19"/>
              </w:rPr>
              <w:t>PENDING — insert screenshot references, request/response evidence, and artifact references</w:t>
            </w:r>
          </w:p>
        </w:tc>
      </w:tr>
      <w:tr>
        <w:tc>
          <w:tcPr>
            <w:tcW w:type="dxa" w:w="4968"/>
            <w:vAlign w:val="center"/>
            <w:shd w:fill="D9EAF7"/>
          </w:tcPr>
          <w:p>
            <w:pPr>
              <w:spacing w:after="0"/>
            </w:pPr>
            <w:r/>
            <w:r>
              <w:rPr>
                <w:rFonts w:ascii="Aptos" w:hAnsi="Aptos"/>
                <w:b/>
                <w:color w:val="17365D"/>
                <w:sz w:val="19"/>
              </w:rPr>
              <w:t>Impact</w:t>
            </w:r>
          </w:p>
        </w:tc>
        <w:tc>
          <w:tcPr>
            <w:tcW w:type="dxa" w:w="4968"/>
            <w:vAlign w:val="center"/>
          </w:tcPr>
          <w:p>
            <w:pPr>
              <w:spacing w:after="0"/>
            </w:pPr>
            <w:r/>
            <w:r>
              <w:rPr>
                <w:rFonts w:ascii="Aptos" w:hAnsi="Aptos"/>
                <w:b w:val="0"/>
                <w:color w:val="1F2937"/>
                <w:sz w:val="19"/>
              </w:rPr>
              <w:t>PENDING — describe the demonstrated confidentiality, integrity, or access-control impact</w:t>
            </w:r>
          </w:p>
        </w:tc>
      </w:tr>
      <w:tr>
        <w:tc>
          <w:tcPr>
            <w:tcW w:type="dxa" w:w="4968"/>
            <w:vAlign w:val="center"/>
            <w:shd w:fill="D9EAF7"/>
          </w:tcPr>
          <w:p>
            <w:pPr>
              <w:spacing w:after="0"/>
            </w:pPr>
            <w:r/>
            <w:r>
              <w:rPr>
                <w:rFonts w:ascii="Aptos" w:hAnsi="Aptos"/>
                <w:b/>
                <w:color w:val="17365D"/>
                <w:sz w:val="19"/>
              </w:rPr>
              <w:t>Evidence notes</w:t>
            </w:r>
          </w:p>
        </w:tc>
        <w:tc>
          <w:tcPr>
            <w:tcW w:type="dxa" w:w="4968"/>
            <w:vAlign w:val="center"/>
          </w:tcPr>
          <w:p>
            <w:pPr>
              <w:spacing w:after="0"/>
            </w:pPr>
            <w:r/>
            <w:r>
              <w:rPr>
                <w:rFonts w:ascii="Aptos" w:hAnsi="Aptos"/>
                <w:b w:val="0"/>
                <w:color w:val="1F2937"/>
                <w:sz w:val="19"/>
              </w:rPr>
              <w:t>Required evidence: file/property/metadata analysis, the link or clue leading to the larger exposure, proof of the exposed resource, and a readable sanitized summary of the confidential data.</w:t>
            </w:r>
          </w:p>
        </w:tc>
      </w:tr>
    </w:tbl>
    <w:p/>
    <w:p>
      <w:pPr>
        <w:pStyle w:val="Heading2"/>
      </w:pPr>
      <w:r>
        <w:t>3.1 Evidence Handling and Presentation</w:t>
      </w:r>
    </w:p>
    <w:p>
      <w:pPr>
        <w:pStyle w:val="ListBullet"/>
        <w:spacing w:after="40"/>
      </w:pPr>
      <w:r>
        <w:t>Use one or more screenshots for each confirmed milestone step and label them consistently, for example: M1-E01, M1-E02, M2-E01.</w:t>
      </w:r>
    </w:p>
    <w:p>
      <w:pPr>
        <w:pStyle w:val="ListBullet"/>
        <w:spacing w:after="40"/>
      </w:pPr>
      <w:r>
        <w:t>Redact patient identifiers, medical details, passwords, session tokens, and other secrets from portfolio/public copies.</w:t>
      </w:r>
    </w:p>
    <w:p>
      <w:pPr>
        <w:pStyle w:val="ListBullet"/>
        <w:spacing w:after="40"/>
      </w:pPr>
      <w:r>
        <w:t>For each finding, connect the evidence to the affected endpoint, input, file, or exposed resource.</w:t>
      </w:r>
    </w:p>
    <w:p>
      <w:pPr>
        <w:pStyle w:val="ListBullet"/>
        <w:spacing w:after="40"/>
      </w:pPr>
      <w:r>
        <w:t>Do not describe an attack as successful unless the evidence demonstrates the result.</w:t>
      </w:r>
    </w:p>
    <w:p>
      <w:pPr>
        <w:pStyle w:val="Heading1"/>
        <w:pageBreakBefore/>
      </w:pPr>
      <w:r>
        <w:t>4. Risk Rating</w:t>
      </w:r>
    </w:p>
    <w:p>
      <w:r>
        <w:t>The project brief requires every vulnerability to be rated Critical, High, Medium, or Low with justification. The supplied README does not define a scoring formula or provide confirmed findings, so final ratings are intentionally left pending.</w:t>
      </w:r>
    </w:p>
    <w:tbl>
      <w:tblPr>
        <w:tblStyle w:val="TableGrid"/>
        <w:tblW w:type="auto" w:w="0"/>
        <w:jc w:val="center"/>
        <w:tblLook w:firstColumn="1" w:firstRow="1" w:lastColumn="0" w:lastRow="0" w:noHBand="0" w:noVBand="1" w:val="04A0"/>
      </w:tblPr>
      <w:tblGrid>
        <w:gridCol w:w="4968"/>
        <w:gridCol w:w="4968"/>
      </w:tblGrid>
      <w:tr>
        <w:tc>
          <w:tcPr>
            <w:tcW w:type="dxa" w:w="1872"/>
            <w:vAlign w:val="center"/>
            <w:shd w:fill="17365D"/>
          </w:tcPr>
          <w:p>
            <w:pPr>
              <w:spacing w:after="0"/>
            </w:pPr>
            <w:r/>
            <w:r>
              <w:rPr>
                <w:rFonts w:ascii="Aptos" w:hAnsi="Aptos"/>
                <w:b/>
                <w:color w:val="FFFFFF"/>
                <w:sz w:val="19"/>
              </w:rPr>
              <w:t>Rating</w:t>
            </w:r>
          </w:p>
        </w:tc>
        <w:tc>
          <w:tcPr>
            <w:tcW w:type="dxa" w:w="7632"/>
            <w:vAlign w:val="center"/>
            <w:shd w:fill="17365D"/>
          </w:tcPr>
          <w:p>
            <w:pPr>
              <w:spacing w:after="0"/>
            </w:pPr>
            <w:r/>
            <w:r>
              <w:rPr>
                <w:rFonts w:ascii="Aptos" w:hAnsi="Aptos"/>
                <w:b/>
                <w:color w:val="FFFFFF"/>
                <w:sz w:val="19"/>
              </w:rPr>
              <w:t>Use in the final report</w:t>
            </w:r>
          </w:p>
        </w:tc>
      </w:tr>
      <w:tr>
        <w:tc>
          <w:tcPr>
            <w:tcW w:type="dxa" w:w="1872"/>
            <w:vAlign w:val="center"/>
            <w:shd w:fill="F2F4F7"/>
          </w:tcPr>
          <w:p>
            <w:pPr>
              <w:spacing w:after="0"/>
            </w:pPr>
            <w:r/>
            <w:r>
              <w:rPr>
                <w:rFonts w:ascii="Aptos" w:hAnsi="Aptos"/>
                <w:b w:val="0"/>
                <w:color w:val="1F2937"/>
                <w:sz w:val="19"/>
              </w:rPr>
              <w:t>Critical</w:t>
            </w:r>
          </w:p>
        </w:tc>
        <w:tc>
          <w:tcPr>
            <w:tcW w:type="dxa" w:w="7632"/>
            <w:vAlign w:val="center"/>
            <w:shd w:fill="F2F4F7"/>
          </w:tcPr>
          <w:p>
            <w:pPr>
              <w:spacing w:after="0"/>
            </w:pPr>
            <w:r/>
            <w:r>
              <w:rPr>
                <w:rFonts w:ascii="Aptos" w:hAnsi="Aptos"/>
                <w:b w:val="0"/>
                <w:color w:val="1F2937"/>
                <w:sz w:val="19"/>
              </w:rPr>
              <w:t>Use only where the confirmed finding represents severe, demonstrated impact requiring immediate attention.</w:t>
            </w:r>
          </w:p>
        </w:tc>
      </w:tr>
      <w:tr>
        <w:tc>
          <w:tcPr>
            <w:tcW w:type="dxa" w:w="1872"/>
            <w:vAlign w:val="center"/>
          </w:tcPr>
          <w:p>
            <w:pPr>
              <w:spacing w:after="0"/>
            </w:pPr>
            <w:r/>
            <w:r>
              <w:rPr>
                <w:rFonts w:ascii="Aptos" w:hAnsi="Aptos"/>
                <w:b w:val="0"/>
                <w:color w:val="1F2937"/>
                <w:sz w:val="19"/>
              </w:rPr>
              <w:t>High</w:t>
            </w:r>
          </w:p>
        </w:tc>
        <w:tc>
          <w:tcPr>
            <w:tcW w:type="dxa" w:w="7632"/>
            <w:vAlign w:val="center"/>
          </w:tcPr>
          <w:p>
            <w:pPr>
              <w:spacing w:after="0"/>
            </w:pPr>
            <w:r/>
            <w:r>
              <w:rPr>
                <w:rFonts w:ascii="Aptos" w:hAnsi="Aptos"/>
                <w:b w:val="0"/>
                <w:color w:val="1F2937"/>
                <w:sz w:val="19"/>
              </w:rPr>
              <w:t>Use where the confirmed finding presents substantial confidentiality, integrity, availability, or access-control impact.</w:t>
            </w:r>
          </w:p>
        </w:tc>
      </w:tr>
      <w:tr>
        <w:tc>
          <w:tcPr>
            <w:tcW w:type="dxa" w:w="1872"/>
            <w:vAlign w:val="center"/>
            <w:shd w:fill="F2F4F7"/>
          </w:tcPr>
          <w:p>
            <w:pPr>
              <w:spacing w:after="0"/>
            </w:pPr>
            <w:r/>
            <w:r>
              <w:rPr>
                <w:rFonts w:ascii="Aptos" w:hAnsi="Aptos"/>
                <w:b w:val="0"/>
                <w:color w:val="1F2937"/>
                <w:sz w:val="19"/>
              </w:rPr>
              <w:t>Medium</w:t>
            </w:r>
          </w:p>
        </w:tc>
        <w:tc>
          <w:tcPr>
            <w:tcW w:type="dxa" w:w="7632"/>
            <w:vAlign w:val="center"/>
            <w:shd w:fill="F2F4F7"/>
          </w:tcPr>
          <w:p>
            <w:pPr>
              <w:spacing w:after="0"/>
            </w:pPr>
            <w:r/>
            <w:r>
              <w:rPr>
                <w:rFonts w:ascii="Aptos" w:hAnsi="Aptos"/>
                <w:b w:val="0"/>
                <w:color w:val="1F2937"/>
                <w:sz w:val="19"/>
              </w:rPr>
              <w:t>Use where the confirmed finding has meaningful but more constrained impact or requires additional conditions.</w:t>
            </w:r>
          </w:p>
        </w:tc>
      </w:tr>
      <w:tr>
        <w:tc>
          <w:tcPr>
            <w:tcW w:type="dxa" w:w="1872"/>
            <w:vAlign w:val="center"/>
          </w:tcPr>
          <w:p>
            <w:pPr>
              <w:spacing w:after="0"/>
            </w:pPr>
            <w:r/>
            <w:r>
              <w:rPr>
                <w:rFonts w:ascii="Aptos" w:hAnsi="Aptos"/>
                <w:b w:val="0"/>
                <w:color w:val="1F2937"/>
                <w:sz w:val="19"/>
              </w:rPr>
              <w:t>Low</w:t>
            </w:r>
          </w:p>
        </w:tc>
        <w:tc>
          <w:tcPr>
            <w:tcW w:type="dxa" w:w="7632"/>
            <w:vAlign w:val="center"/>
          </w:tcPr>
          <w:p>
            <w:pPr>
              <w:spacing w:after="0"/>
            </w:pPr>
            <w:r/>
            <w:r>
              <w:rPr>
                <w:rFonts w:ascii="Aptos" w:hAnsi="Aptos"/>
                <w:b w:val="0"/>
                <w:color w:val="1F2937"/>
                <w:sz w:val="19"/>
              </w:rPr>
              <w:t>Use where the confirmed finding has limited impact or is primarily informational/defense-in-depth.</w:t>
            </w:r>
          </w:p>
        </w:tc>
      </w:tr>
    </w:tbl>
    <w:p/>
    <w:p>
      <w:pPr>
        <w:pStyle w:val="Heading2"/>
      </w:pPr>
      <w:r>
        <w:t>4.1 Finding Register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152"/>
            <w:vAlign w:val="center"/>
            <w:shd w:fill="17365D"/>
          </w:tcPr>
          <w:p>
            <w:pPr>
              <w:spacing w:after="0"/>
            </w:pPr>
            <w:r/>
            <w:r>
              <w:rPr>
                <w:rFonts w:ascii="Aptos" w:hAnsi="Aptos"/>
                <w:b/>
                <w:color w:val="FFFFFF"/>
                <w:sz w:val="19"/>
              </w:rPr>
              <w:t>ID</w:t>
            </w:r>
          </w:p>
        </w:tc>
        <w:tc>
          <w:tcPr>
            <w:tcW w:type="dxa" w:w="3600"/>
            <w:vAlign w:val="center"/>
            <w:shd w:fill="17365D"/>
          </w:tcPr>
          <w:p>
            <w:pPr>
              <w:spacing w:after="0"/>
            </w:pPr>
            <w:r/>
            <w:r>
              <w:rPr>
                <w:rFonts w:ascii="Aptos" w:hAnsi="Aptos"/>
                <w:b/>
                <w:color w:val="FFFFFF"/>
                <w:sz w:val="19"/>
              </w:rPr>
              <w:t>Finding</w:t>
            </w:r>
          </w:p>
        </w:tc>
        <w:tc>
          <w:tcPr>
            <w:tcW w:type="dxa" w:w="1872"/>
            <w:vAlign w:val="center"/>
            <w:shd w:fill="17365D"/>
          </w:tcPr>
          <w:p>
            <w:pPr>
              <w:spacing w:after="0"/>
            </w:pPr>
            <w:r/>
            <w:r>
              <w:rPr>
                <w:rFonts w:ascii="Aptos" w:hAnsi="Aptos"/>
                <w:b/>
                <w:color w:val="FFFFFF"/>
                <w:sz w:val="19"/>
              </w:rPr>
              <w:t>Evidence</w:t>
            </w:r>
          </w:p>
        </w:tc>
        <w:tc>
          <w:tcPr>
            <w:tcW w:type="dxa" w:w="1296"/>
            <w:vAlign w:val="center"/>
            <w:shd w:fill="17365D"/>
          </w:tcPr>
          <w:p>
            <w:pPr>
              <w:spacing w:after="0"/>
            </w:pPr>
            <w:r/>
            <w:r>
              <w:rPr>
                <w:rFonts w:ascii="Aptos" w:hAnsi="Aptos"/>
                <w:b/>
                <w:color w:val="FFFFFF"/>
                <w:sz w:val="19"/>
              </w:rPr>
              <w:t>Rating</w:t>
            </w:r>
          </w:p>
        </w:tc>
        <w:tc>
          <w:tcPr>
            <w:tcW w:type="dxa" w:w="1152"/>
            <w:vAlign w:val="center"/>
            <w:shd w:fill="17365D"/>
          </w:tcPr>
          <w:p>
            <w:pPr>
              <w:spacing w:after="0"/>
            </w:pPr>
            <w:r/>
            <w:r>
              <w:rPr>
                <w:rFonts w:ascii="Aptos" w:hAnsi="Aptos"/>
                <w:b/>
                <w:color w:val="FFFFFF"/>
                <w:sz w:val="19"/>
              </w:rPr>
              <w:t>Status</w:t>
            </w:r>
          </w:p>
        </w:tc>
      </w:tr>
      <w:tr>
        <w:tc>
          <w:tcPr>
            <w:tcW w:type="dxa" w:w="1152"/>
            <w:vAlign w:val="center"/>
            <w:shd w:fill="F2F4F7"/>
          </w:tcPr>
          <w:p>
            <w:pPr>
              <w:spacing w:after="0"/>
            </w:pPr>
            <w:r/>
            <w:r>
              <w:rPr>
                <w:rFonts w:ascii="Aptos" w:hAnsi="Aptos"/>
                <w:b w:val="0"/>
                <w:color w:val="1F2937"/>
                <w:sz w:val="19"/>
              </w:rPr>
              <w:t>M1-F01</w:t>
            </w:r>
          </w:p>
        </w:tc>
        <w:tc>
          <w:tcPr>
            <w:tcW w:type="dxa" w:w="3600"/>
            <w:vAlign w:val="center"/>
            <w:shd w:fill="F2F4F7"/>
          </w:tcPr>
          <w:p>
            <w:pPr>
              <w:spacing w:after="0"/>
            </w:pPr>
            <w:r/>
            <w:r>
              <w:rPr>
                <w:rFonts w:ascii="Aptos" w:hAnsi="Aptos"/>
                <w:b w:val="0"/>
                <w:color w:val="1F2937"/>
                <w:sz w:val="19"/>
              </w:rPr>
              <w:t>To be populated from confirmed M1 testing</w:t>
            </w:r>
          </w:p>
        </w:tc>
        <w:tc>
          <w:tcPr>
            <w:tcW w:type="dxa" w:w="1872"/>
            <w:vAlign w:val="center"/>
            <w:shd w:fill="F2F4F7"/>
          </w:tcPr>
          <w:p>
            <w:pPr>
              <w:spacing w:after="0"/>
            </w:pPr>
            <w:r/>
            <w:r>
              <w:rPr>
                <w:rFonts w:ascii="Aptos" w:hAnsi="Aptos"/>
                <w:b w:val="0"/>
                <w:color w:val="1F2937"/>
                <w:sz w:val="19"/>
              </w:rPr>
              <w:t>Pending</w:t>
            </w:r>
          </w:p>
        </w:tc>
        <w:tc>
          <w:tcPr>
            <w:tcW w:type="dxa" w:w="1296"/>
            <w:vAlign w:val="center"/>
            <w:shd w:fill="F2F4F7"/>
          </w:tcPr>
          <w:p>
            <w:pPr>
              <w:spacing w:after="0"/>
            </w:pPr>
            <w:r/>
            <w:r>
              <w:rPr>
                <w:rFonts w:ascii="Aptos" w:hAnsi="Aptos"/>
                <w:b w:val="0"/>
                <w:color w:val="1F2937"/>
                <w:sz w:val="19"/>
              </w:rPr>
              <w:t>Pending</w:t>
            </w:r>
          </w:p>
        </w:tc>
        <w:tc>
          <w:tcPr>
            <w:tcW w:type="dxa" w:w="1152"/>
            <w:vAlign w:val="center"/>
            <w:shd w:fill="F2F4F7"/>
          </w:tcPr>
          <w:p>
            <w:pPr>
              <w:spacing w:after="0"/>
            </w:pPr>
            <w:r/>
            <w:r>
              <w:rPr>
                <w:rFonts w:ascii="Aptos" w:hAnsi="Aptos"/>
                <w:b w:val="0"/>
                <w:color w:val="1F2937"/>
                <w:sz w:val="19"/>
              </w:rPr>
              <w:t>Open</w:t>
            </w:r>
          </w:p>
        </w:tc>
      </w:tr>
      <w:tr>
        <w:tc>
          <w:tcPr>
            <w:tcW w:type="dxa" w:w="1152"/>
            <w:vAlign w:val="center"/>
          </w:tcPr>
          <w:p>
            <w:pPr>
              <w:spacing w:after="0"/>
            </w:pPr>
            <w:r/>
            <w:r>
              <w:rPr>
                <w:rFonts w:ascii="Aptos" w:hAnsi="Aptos"/>
                <w:b w:val="0"/>
                <w:color w:val="1F2937"/>
                <w:sz w:val="19"/>
              </w:rPr>
              <w:t>M2-F01</w:t>
            </w:r>
          </w:p>
        </w:tc>
        <w:tc>
          <w:tcPr>
            <w:tcW w:type="dxa" w:w="3600"/>
            <w:vAlign w:val="center"/>
          </w:tcPr>
          <w:p>
            <w:pPr>
              <w:spacing w:after="0"/>
            </w:pPr>
            <w:r/>
            <w:r>
              <w:rPr>
                <w:rFonts w:ascii="Aptos" w:hAnsi="Aptos"/>
                <w:b w:val="0"/>
                <w:color w:val="1F2937"/>
                <w:sz w:val="19"/>
              </w:rPr>
              <w:t>To be populated from confirmed M2 testing</w:t>
            </w:r>
          </w:p>
        </w:tc>
        <w:tc>
          <w:tcPr>
            <w:tcW w:type="dxa" w:w="1872"/>
            <w:vAlign w:val="center"/>
          </w:tcPr>
          <w:p>
            <w:pPr>
              <w:spacing w:after="0"/>
            </w:pPr>
            <w:r/>
            <w:r>
              <w:rPr>
                <w:rFonts w:ascii="Aptos" w:hAnsi="Aptos"/>
                <w:b w:val="0"/>
                <w:color w:val="1F2937"/>
                <w:sz w:val="19"/>
              </w:rPr>
              <w:t>Pending</w:t>
            </w:r>
          </w:p>
        </w:tc>
        <w:tc>
          <w:tcPr>
            <w:tcW w:type="dxa" w:w="1296"/>
            <w:vAlign w:val="center"/>
          </w:tcPr>
          <w:p>
            <w:pPr>
              <w:spacing w:after="0"/>
            </w:pPr>
            <w:r/>
            <w:r>
              <w:rPr>
                <w:rFonts w:ascii="Aptos" w:hAnsi="Aptos"/>
                <w:b w:val="0"/>
                <w:color w:val="1F2937"/>
                <w:sz w:val="19"/>
              </w:rPr>
              <w:t>Pending</w:t>
            </w:r>
          </w:p>
        </w:tc>
        <w:tc>
          <w:tcPr>
            <w:tcW w:type="dxa" w:w="1152"/>
            <w:vAlign w:val="center"/>
          </w:tcPr>
          <w:p>
            <w:pPr>
              <w:spacing w:after="0"/>
            </w:pPr>
            <w:r/>
            <w:r>
              <w:rPr>
                <w:rFonts w:ascii="Aptos" w:hAnsi="Aptos"/>
                <w:b w:val="0"/>
                <w:color w:val="1F2937"/>
                <w:sz w:val="19"/>
              </w:rPr>
              <w:t>Open</w:t>
            </w:r>
          </w:p>
        </w:tc>
      </w:tr>
      <w:tr>
        <w:tc>
          <w:tcPr>
            <w:tcW w:type="dxa" w:w="1152"/>
            <w:vAlign w:val="center"/>
            <w:shd w:fill="F2F4F7"/>
          </w:tcPr>
          <w:p>
            <w:pPr>
              <w:spacing w:after="0"/>
            </w:pPr>
            <w:r/>
            <w:r>
              <w:rPr>
                <w:rFonts w:ascii="Aptos" w:hAnsi="Aptos"/>
                <w:b w:val="0"/>
                <w:color w:val="1F2937"/>
                <w:sz w:val="19"/>
              </w:rPr>
              <w:t>M3-F01</w:t>
            </w:r>
          </w:p>
        </w:tc>
        <w:tc>
          <w:tcPr>
            <w:tcW w:type="dxa" w:w="3600"/>
            <w:vAlign w:val="center"/>
            <w:shd w:fill="F2F4F7"/>
          </w:tcPr>
          <w:p>
            <w:pPr>
              <w:spacing w:after="0"/>
            </w:pPr>
            <w:r/>
            <w:r>
              <w:rPr>
                <w:rFonts w:ascii="Aptos" w:hAnsi="Aptos"/>
                <w:b w:val="0"/>
                <w:color w:val="1F2937"/>
                <w:sz w:val="19"/>
              </w:rPr>
              <w:t>To be populated from confirmed M3 testing</w:t>
            </w:r>
          </w:p>
        </w:tc>
        <w:tc>
          <w:tcPr>
            <w:tcW w:type="dxa" w:w="1872"/>
            <w:vAlign w:val="center"/>
            <w:shd w:fill="F2F4F7"/>
          </w:tcPr>
          <w:p>
            <w:pPr>
              <w:spacing w:after="0"/>
            </w:pPr>
            <w:r/>
            <w:r>
              <w:rPr>
                <w:rFonts w:ascii="Aptos" w:hAnsi="Aptos"/>
                <w:b w:val="0"/>
                <w:color w:val="1F2937"/>
                <w:sz w:val="19"/>
              </w:rPr>
              <w:t>Pending</w:t>
            </w:r>
          </w:p>
        </w:tc>
        <w:tc>
          <w:tcPr>
            <w:tcW w:type="dxa" w:w="1296"/>
            <w:vAlign w:val="center"/>
            <w:shd w:fill="F2F4F7"/>
          </w:tcPr>
          <w:p>
            <w:pPr>
              <w:spacing w:after="0"/>
            </w:pPr>
            <w:r/>
            <w:r>
              <w:rPr>
                <w:rFonts w:ascii="Aptos" w:hAnsi="Aptos"/>
                <w:b w:val="0"/>
                <w:color w:val="1F2937"/>
                <w:sz w:val="19"/>
              </w:rPr>
              <w:t>Pending</w:t>
            </w:r>
          </w:p>
        </w:tc>
        <w:tc>
          <w:tcPr>
            <w:tcW w:type="dxa" w:w="1152"/>
            <w:vAlign w:val="center"/>
            <w:shd w:fill="F2F4F7"/>
          </w:tcPr>
          <w:p>
            <w:pPr>
              <w:spacing w:after="0"/>
            </w:pPr>
            <w:r/>
            <w:r>
              <w:rPr>
                <w:rFonts w:ascii="Aptos" w:hAnsi="Aptos"/>
                <w:b w:val="0"/>
                <w:color w:val="1F2937"/>
                <w:sz w:val="19"/>
              </w:rPr>
              <w:t>Open</w:t>
            </w:r>
          </w:p>
        </w:tc>
      </w:tr>
    </w:tbl>
    <w:p/>
    <w:p>
      <w:pPr>
        <w:pStyle w:val="Heading1"/>
        <w:pageBreakBefore/>
      </w:pPr>
      <w:r>
        <w:t>5. Recommendations and Remediation</w:t>
      </w:r>
    </w:p>
    <w:p>
      <w:r>
        <w:t>The README requires actionable remediation advice for each confirmed issue. Because the supplied source does not establish which vulnerabilities were actually present, the recommendations below are remediation categories to be completed against the final evidence rather than claims that these specific weaknesses were confirmed.</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17365D"/>
          </w:tcPr>
          <w:p>
            <w:pPr>
              <w:spacing w:after="0"/>
            </w:pPr>
            <w:r/>
            <w:r>
              <w:rPr>
                <w:rFonts w:ascii="Aptos" w:hAnsi="Aptos"/>
                <w:b/>
                <w:color w:val="FFFFFF"/>
                <w:sz w:val="19"/>
              </w:rPr>
              <w:t>Area</w:t>
            </w:r>
          </w:p>
        </w:tc>
        <w:tc>
          <w:tcPr>
            <w:tcW w:type="dxa" w:w="7200"/>
            <w:vAlign w:val="center"/>
            <w:shd w:fill="17365D"/>
          </w:tcPr>
          <w:p>
            <w:pPr>
              <w:spacing w:after="0"/>
            </w:pPr>
            <w:r/>
            <w:r>
              <w:rPr>
                <w:rFonts w:ascii="Aptos" w:hAnsi="Aptos"/>
                <w:b/>
                <w:color w:val="FFFFFF"/>
                <w:sz w:val="19"/>
              </w:rPr>
              <w:t>Recommended remediation focus</w:t>
            </w:r>
          </w:p>
        </w:tc>
      </w:tr>
      <w:tr>
        <w:tc>
          <w:tcPr>
            <w:tcW w:type="dxa" w:w="2304"/>
            <w:vAlign w:val="center"/>
            <w:shd w:fill="F2F4F7"/>
          </w:tcPr>
          <w:p>
            <w:pPr>
              <w:spacing w:after="0"/>
            </w:pPr>
            <w:r/>
            <w:r>
              <w:rPr>
                <w:rFonts w:ascii="Aptos" w:hAnsi="Aptos"/>
                <w:b w:val="0"/>
                <w:color w:val="1F2937"/>
                <w:sz w:val="19"/>
              </w:rPr>
              <w:t>Authentication</w:t>
            </w:r>
          </w:p>
        </w:tc>
        <w:tc>
          <w:tcPr>
            <w:tcW w:type="dxa" w:w="7200"/>
            <w:vAlign w:val="center"/>
            <w:shd w:fill="F2F4F7"/>
          </w:tcPr>
          <w:p>
            <w:pPr>
              <w:spacing w:after="0"/>
            </w:pPr>
            <w:r/>
            <w:r>
              <w:rPr>
                <w:rFonts w:ascii="Aptos" w:hAnsi="Aptos"/>
                <w:b w:val="0"/>
                <w:color w:val="1F2937"/>
                <w:sz w:val="19"/>
              </w:rPr>
              <w:t>Review authentication logic, account handling, session management, and password-reset controls; validate that authentication decisions cannot be manipulated through user input.</w:t>
            </w:r>
          </w:p>
        </w:tc>
      </w:tr>
      <w:tr>
        <w:tc>
          <w:tcPr>
            <w:tcW w:type="dxa" w:w="2304"/>
            <w:vAlign w:val="center"/>
          </w:tcPr>
          <w:p>
            <w:pPr>
              <w:spacing w:after="0"/>
            </w:pPr>
            <w:r/>
            <w:r>
              <w:rPr>
                <w:rFonts w:ascii="Aptos" w:hAnsi="Aptos"/>
                <w:b w:val="0"/>
                <w:color w:val="1F2937"/>
                <w:sz w:val="19"/>
              </w:rPr>
              <w:t>Input handling</w:t>
            </w:r>
          </w:p>
        </w:tc>
        <w:tc>
          <w:tcPr>
            <w:tcW w:type="dxa" w:w="7200"/>
            <w:vAlign w:val="center"/>
          </w:tcPr>
          <w:p>
            <w:pPr>
              <w:spacing w:after="0"/>
            </w:pPr>
            <w:r/>
            <w:r>
              <w:rPr>
                <w:rFonts w:ascii="Aptos" w:hAnsi="Aptos"/>
                <w:b w:val="0"/>
                <w:color w:val="1F2937"/>
                <w:sz w:val="19"/>
              </w:rPr>
              <w:t>Use parameterized queries/prepared statements, strict server-side validation, and safe output handling for all untrusted input.</w:t>
            </w:r>
          </w:p>
        </w:tc>
      </w:tr>
      <w:tr>
        <w:tc>
          <w:tcPr>
            <w:tcW w:type="dxa" w:w="2304"/>
            <w:vAlign w:val="center"/>
            <w:shd w:fill="F2F4F7"/>
          </w:tcPr>
          <w:p>
            <w:pPr>
              <w:spacing w:after="0"/>
            </w:pPr>
            <w:r/>
            <w:r>
              <w:rPr>
                <w:rFonts w:ascii="Aptos" w:hAnsi="Aptos"/>
                <w:b w:val="0"/>
                <w:color w:val="1F2937"/>
                <w:sz w:val="19"/>
              </w:rPr>
              <w:t>Authorization / IDOR</w:t>
            </w:r>
          </w:p>
        </w:tc>
        <w:tc>
          <w:tcPr>
            <w:tcW w:type="dxa" w:w="7200"/>
            <w:vAlign w:val="center"/>
            <w:shd w:fill="F2F4F7"/>
          </w:tcPr>
          <w:p>
            <w:pPr>
              <w:spacing w:after="0"/>
            </w:pPr>
            <w:r/>
            <w:r>
              <w:rPr>
                <w:rFonts w:ascii="Aptos" w:hAnsi="Aptos"/>
                <w:b w:val="0"/>
                <w:color w:val="1F2937"/>
                <w:sz w:val="19"/>
              </w:rPr>
              <w:t>Enforce server-side object-level authorization on every protected resource; never rely on predictable identifiers or client-side controls.</w:t>
            </w:r>
          </w:p>
        </w:tc>
      </w:tr>
      <w:tr>
        <w:tc>
          <w:tcPr>
            <w:tcW w:type="dxa" w:w="2304"/>
            <w:vAlign w:val="center"/>
          </w:tcPr>
          <w:p>
            <w:pPr>
              <w:spacing w:after="0"/>
            </w:pPr>
            <w:r/>
            <w:r>
              <w:rPr>
                <w:rFonts w:ascii="Aptos" w:hAnsi="Aptos"/>
                <w:b w:val="0"/>
                <w:color w:val="1F2937"/>
                <w:sz w:val="19"/>
              </w:rPr>
              <w:t>File upload/download</w:t>
            </w:r>
          </w:p>
        </w:tc>
        <w:tc>
          <w:tcPr>
            <w:tcW w:type="dxa" w:w="7200"/>
            <w:vAlign w:val="center"/>
          </w:tcPr>
          <w:p>
            <w:pPr>
              <w:spacing w:after="0"/>
            </w:pPr>
            <w:r/>
            <w:r>
              <w:rPr>
                <w:rFonts w:ascii="Aptos" w:hAnsi="Aptos"/>
                <w:b w:val="0"/>
                <w:color w:val="1F2937"/>
                <w:sz w:val="19"/>
              </w:rPr>
              <w:t>Apply server-side authorization, canonical path handling, allowlists, and access checks before serving protected files.</w:t>
            </w:r>
          </w:p>
        </w:tc>
      </w:tr>
      <w:tr>
        <w:tc>
          <w:tcPr>
            <w:tcW w:type="dxa" w:w="2304"/>
            <w:vAlign w:val="center"/>
            <w:shd w:fill="F2F4F7"/>
          </w:tcPr>
          <w:p>
            <w:pPr>
              <w:spacing w:after="0"/>
            </w:pPr>
            <w:r/>
            <w:r>
              <w:rPr>
                <w:rFonts w:ascii="Aptos" w:hAnsi="Aptos"/>
                <w:b w:val="0"/>
                <w:color w:val="1F2937"/>
                <w:sz w:val="19"/>
              </w:rPr>
              <w:t>Document protection</w:t>
            </w:r>
          </w:p>
        </w:tc>
        <w:tc>
          <w:tcPr>
            <w:tcW w:type="dxa" w:w="7200"/>
            <w:vAlign w:val="center"/>
            <w:shd w:fill="F2F4F7"/>
          </w:tcPr>
          <w:p>
            <w:pPr>
              <w:spacing w:after="0"/>
            </w:pPr>
            <w:r/>
            <w:r>
              <w:rPr>
                <w:rFonts w:ascii="Aptos" w:hAnsi="Aptos"/>
                <w:b w:val="0"/>
                <w:color w:val="1F2937"/>
                <w:sz w:val="19"/>
              </w:rPr>
              <w:t>Use strong, unique protection mechanisms for sensitive documents and avoid weak/reused passwords or unnecessary reliance on document encryption alone.</w:t>
            </w:r>
          </w:p>
        </w:tc>
      </w:tr>
      <w:tr>
        <w:tc>
          <w:tcPr>
            <w:tcW w:type="dxa" w:w="2304"/>
            <w:vAlign w:val="center"/>
          </w:tcPr>
          <w:p>
            <w:pPr>
              <w:spacing w:after="0"/>
            </w:pPr>
            <w:r/>
            <w:r>
              <w:rPr>
                <w:rFonts w:ascii="Aptos" w:hAnsi="Aptos"/>
                <w:b w:val="0"/>
                <w:color w:val="1F2937"/>
                <w:sz w:val="19"/>
              </w:rPr>
              <w:t>Metadata hygiene</w:t>
            </w:r>
          </w:p>
        </w:tc>
        <w:tc>
          <w:tcPr>
            <w:tcW w:type="dxa" w:w="7200"/>
            <w:vAlign w:val="center"/>
          </w:tcPr>
          <w:p>
            <w:pPr>
              <w:spacing w:after="0"/>
            </w:pPr>
            <w:r/>
            <w:r>
              <w:rPr>
                <w:rFonts w:ascii="Aptos" w:hAnsi="Aptos"/>
                <w:b w:val="0"/>
                <w:color w:val="1F2937"/>
                <w:sz w:val="19"/>
              </w:rPr>
              <w:t>Remove unnecessary document metadata, comments, revision history, and internal paths before documents leave controlled environments.</w:t>
            </w:r>
          </w:p>
        </w:tc>
      </w:tr>
      <w:tr>
        <w:tc>
          <w:tcPr>
            <w:tcW w:type="dxa" w:w="2304"/>
            <w:vAlign w:val="center"/>
            <w:shd w:fill="F2F4F7"/>
          </w:tcPr>
          <w:p>
            <w:pPr>
              <w:spacing w:after="0"/>
            </w:pPr>
            <w:r/>
            <w:r>
              <w:rPr>
                <w:rFonts w:ascii="Aptos" w:hAnsi="Aptos"/>
                <w:b w:val="0"/>
                <w:color w:val="1F2937"/>
                <w:sz w:val="19"/>
              </w:rPr>
              <w:t>Legacy/forgotten content</w:t>
            </w:r>
          </w:p>
        </w:tc>
        <w:tc>
          <w:tcPr>
            <w:tcW w:type="dxa" w:w="7200"/>
            <w:vAlign w:val="center"/>
            <w:shd w:fill="F2F4F7"/>
          </w:tcPr>
          <w:p>
            <w:pPr>
              <w:spacing w:after="0"/>
            </w:pPr>
            <w:r/>
            <w:r>
              <w:rPr>
                <w:rFonts w:ascii="Aptos" w:hAnsi="Aptos"/>
                <w:b w:val="0"/>
                <w:color w:val="1F2937"/>
                <w:sz w:val="19"/>
              </w:rPr>
              <w:t>Remove obsolete directories and files; prevent production exposure of backups, staging material, and old application content.</w:t>
            </w:r>
          </w:p>
        </w:tc>
      </w:tr>
      <w:tr>
        <w:tc>
          <w:tcPr>
            <w:tcW w:type="dxa" w:w="2304"/>
            <w:vAlign w:val="center"/>
          </w:tcPr>
          <w:p>
            <w:pPr>
              <w:spacing w:after="0"/>
            </w:pPr>
            <w:r/>
            <w:r>
              <w:rPr>
                <w:rFonts w:ascii="Aptos" w:hAnsi="Aptos"/>
                <w:b w:val="0"/>
                <w:color w:val="1F2937"/>
                <w:sz w:val="19"/>
              </w:rPr>
              <w:t>Sensitive business data</w:t>
            </w:r>
          </w:p>
        </w:tc>
        <w:tc>
          <w:tcPr>
            <w:tcW w:type="dxa" w:w="7200"/>
            <w:vAlign w:val="center"/>
          </w:tcPr>
          <w:p>
            <w:pPr>
              <w:spacing w:after="0"/>
            </w:pPr>
            <w:r/>
            <w:r>
              <w:rPr>
                <w:rFonts w:ascii="Aptos" w:hAnsi="Aptos"/>
                <w:b w:val="0"/>
                <w:color w:val="1F2937"/>
                <w:sz w:val="19"/>
              </w:rPr>
              <w:t>Restrict payroll, shareholder, and other confidential datasets through strong access controls, secure storage, and least-privilege access.</w:t>
            </w:r>
          </w:p>
        </w:tc>
      </w:tr>
      <w:tr>
        <w:tc>
          <w:tcPr>
            <w:tcW w:type="dxa" w:w="2304"/>
            <w:vAlign w:val="center"/>
            <w:shd w:fill="F2F4F7"/>
          </w:tcPr>
          <w:p>
            <w:pPr>
              <w:spacing w:after="0"/>
            </w:pPr>
            <w:r/>
            <w:r>
              <w:rPr>
                <w:rFonts w:ascii="Aptos" w:hAnsi="Aptos"/>
                <w:b w:val="0"/>
                <w:color w:val="1F2937"/>
                <w:sz w:val="19"/>
              </w:rPr>
              <w:t>Monitoring</w:t>
            </w:r>
          </w:p>
        </w:tc>
        <w:tc>
          <w:tcPr>
            <w:tcW w:type="dxa" w:w="7200"/>
            <w:vAlign w:val="center"/>
            <w:shd w:fill="F2F4F7"/>
          </w:tcPr>
          <w:p>
            <w:pPr>
              <w:spacing w:after="0"/>
            </w:pPr>
            <w:r/>
            <w:r>
              <w:rPr>
                <w:rFonts w:ascii="Aptos" w:hAnsi="Aptos"/>
                <w:b w:val="0"/>
                <w:color w:val="1F2937"/>
                <w:sz w:val="19"/>
              </w:rPr>
              <w:t>Log authentication failures, unusual access patterns, sensitive-file access, and administrative changes; review alerts for suspicious activity.</w:t>
            </w:r>
          </w:p>
        </w:tc>
      </w:tr>
    </w:tbl>
    <w:p/>
    <w:p>
      <w:pPr>
        <w:pStyle w:val="Heading1"/>
      </w:pPr>
      <w:r>
        <w:t>6. Conclusion</w:t>
      </w:r>
    </w:p>
    <w:p>
      <w:r>
        <w:t>The Week 4 engagement is designed to demonstrate how a black-box web assessment can move from reconnaissance to initial access, protected-document recovery, and discovery of a larger data exposure. The supplied README provides the engagement scope, methodology, milestone goals, required report structure, and repository layout, but it does not contain the actual testing evidence required to support final findings.</w:t>
      </w:r>
    </w:p>
    <w:p>
      <w:r>
        <w:t>Accordingly, this document is best treated as the M4 client-report framework to be completed after M1–M3 evidence has been gathered. The final submission should replace the pending placeholders with confirmed observations, screenshots, artifact references, justified risk ratings, and finding-specific remediation.</w:t>
      </w:r>
    </w:p>
    <w:p>
      <w:pPr>
        <w:pStyle w:val="Heading1"/>
      </w:pPr>
      <w:r>
        <w:t>Appendix A — Evidence Checklist</w:t>
      </w:r>
    </w:p>
    <w:tbl>
      <w:tblPr>
        <w:tblStyle w:val="TableGrid"/>
        <w:tblW w:type="auto" w:w="0"/>
        <w:jc w:val="center"/>
        <w:tblLook w:firstColumn="1" w:firstRow="1" w:lastColumn="0" w:lastRow="0" w:noHBand="0" w:noVBand="1" w:val="04A0"/>
      </w:tblPr>
      <w:tblGrid>
        <w:gridCol w:w="3312"/>
        <w:gridCol w:w="3312"/>
        <w:gridCol w:w="3312"/>
      </w:tblGrid>
      <w:tr>
        <w:tc>
          <w:tcPr>
            <w:tcW w:type="dxa" w:w="1296"/>
            <w:vAlign w:val="center"/>
            <w:shd w:fill="17365D"/>
          </w:tcPr>
          <w:p>
            <w:pPr>
              <w:spacing w:after="0"/>
            </w:pPr>
            <w:r/>
            <w:r>
              <w:rPr>
                <w:rFonts w:ascii="Aptos" w:hAnsi="Aptos"/>
                <w:b/>
                <w:color w:val="FFFFFF"/>
                <w:sz w:val="19"/>
              </w:rPr>
              <w:t>Milestone</w:t>
            </w:r>
          </w:p>
        </w:tc>
        <w:tc>
          <w:tcPr>
            <w:tcW w:type="dxa" w:w="7200"/>
            <w:vAlign w:val="center"/>
            <w:shd w:fill="17365D"/>
          </w:tcPr>
          <w:p>
            <w:pPr>
              <w:spacing w:after="0"/>
            </w:pPr>
            <w:r/>
            <w:r>
              <w:rPr>
                <w:rFonts w:ascii="Aptos" w:hAnsi="Aptos"/>
                <w:b/>
                <w:color w:val="FFFFFF"/>
                <w:sz w:val="19"/>
              </w:rPr>
              <w:t>Evidence item</w:t>
            </w:r>
          </w:p>
        </w:tc>
        <w:tc>
          <w:tcPr>
            <w:tcW w:type="dxa" w:w="1152"/>
            <w:vAlign w:val="center"/>
            <w:shd w:fill="17365D"/>
          </w:tcPr>
          <w:p>
            <w:pPr>
              <w:spacing w:after="0"/>
            </w:pPr>
            <w:r/>
            <w:r>
              <w:rPr>
                <w:rFonts w:ascii="Aptos" w:hAnsi="Aptos"/>
                <w:b/>
                <w:color w:val="FFFFFF"/>
                <w:sz w:val="19"/>
              </w:rPr>
              <w:t>Complete?</w:t>
            </w:r>
          </w:p>
        </w:tc>
      </w:tr>
      <w:tr>
        <w:tc>
          <w:tcPr>
            <w:tcW w:type="dxa" w:w="1296"/>
            <w:vAlign w:val="center"/>
            <w:shd w:fill="F2F4F7"/>
          </w:tcPr>
          <w:p>
            <w:pPr>
              <w:spacing w:after="0"/>
            </w:pPr>
            <w:r/>
            <w:r>
              <w:rPr>
                <w:rFonts w:ascii="Aptos" w:hAnsi="Aptos"/>
                <w:b w:val="0"/>
                <w:color w:val="1F2937"/>
                <w:sz w:val="19"/>
              </w:rPr>
              <w:t>M1</w:t>
            </w:r>
          </w:p>
        </w:tc>
        <w:tc>
          <w:tcPr>
            <w:tcW w:type="dxa" w:w="7200"/>
            <w:vAlign w:val="center"/>
            <w:shd w:fill="F2F4F7"/>
          </w:tcPr>
          <w:p>
            <w:pPr>
              <w:spacing w:after="0"/>
            </w:pPr>
            <w:r/>
            <w:r>
              <w:rPr>
                <w:rFonts w:ascii="Aptos" w:hAnsi="Aptos"/>
                <w:b w:val="0"/>
                <w:color w:val="1F2937"/>
                <w:sz w:val="19"/>
              </w:rPr>
              <w:t>Reconnaissance results and discovered entry points</w:t>
            </w:r>
          </w:p>
        </w:tc>
        <w:tc>
          <w:tcPr>
            <w:tcW w:type="dxa" w:w="1152"/>
            <w:vAlign w:val="center"/>
            <w:shd w:fill="F2F4F7"/>
          </w:tcPr>
          <w:p>
            <w:pPr>
              <w:spacing w:after="0"/>
            </w:pPr>
            <w:r/>
            <w:r>
              <w:rPr>
                <w:rFonts w:ascii="Aptos" w:hAnsi="Aptos"/>
                <w:b w:val="0"/>
                <w:color w:val="1F2937"/>
                <w:sz w:val="19"/>
              </w:rPr>
              <w:t>[ ]</w:t>
            </w:r>
          </w:p>
        </w:tc>
      </w:tr>
      <w:tr>
        <w:tc>
          <w:tcPr>
            <w:tcW w:type="dxa" w:w="1296"/>
            <w:vAlign w:val="center"/>
          </w:tcPr>
          <w:p>
            <w:pPr>
              <w:spacing w:after="0"/>
            </w:pPr>
            <w:r/>
            <w:r>
              <w:rPr>
                <w:rFonts w:ascii="Aptos" w:hAnsi="Aptos"/>
                <w:b w:val="0"/>
                <w:color w:val="1F2937"/>
                <w:sz w:val="19"/>
              </w:rPr>
              <w:t>M1</w:t>
            </w:r>
          </w:p>
        </w:tc>
        <w:tc>
          <w:tcPr>
            <w:tcW w:type="dxa" w:w="7200"/>
            <w:vAlign w:val="center"/>
          </w:tcPr>
          <w:p>
            <w:pPr>
              <w:spacing w:after="0"/>
            </w:pPr>
            <w:r/>
            <w:r>
              <w:rPr>
                <w:rFonts w:ascii="Aptos" w:hAnsi="Aptos"/>
                <w:b w:val="0"/>
                <w:color w:val="1F2937"/>
                <w:sz w:val="19"/>
              </w:rPr>
              <w:t>Authentication/input-handling test evidence</w:t>
            </w:r>
          </w:p>
        </w:tc>
        <w:tc>
          <w:tcPr>
            <w:tcW w:type="dxa" w:w="1152"/>
            <w:vAlign w:val="center"/>
          </w:tcPr>
          <w:p>
            <w:pPr>
              <w:spacing w:after="0"/>
            </w:pPr>
            <w:r/>
            <w:r>
              <w:rPr>
                <w:rFonts w:ascii="Aptos" w:hAnsi="Aptos"/>
                <w:b w:val="0"/>
                <w:color w:val="1F2937"/>
                <w:sz w:val="19"/>
              </w:rPr>
              <w:t>[ ]</w:t>
            </w:r>
          </w:p>
        </w:tc>
      </w:tr>
      <w:tr>
        <w:tc>
          <w:tcPr>
            <w:tcW w:type="dxa" w:w="1296"/>
            <w:vAlign w:val="center"/>
            <w:shd w:fill="F2F4F7"/>
          </w:tcPr>
          <w:p>
            <w:pPr>
              <w:spacing w:after="0"/>
            </w:pPr>
            <w:r/>
            <w:r>
              <w:rPr>
                <w:rFonts w:ascii="Aptos" w:hAnsi="Aptos"/>
                <w:b w:val="0"/>
                <w:color w:val="1F2937"/>
                <w:sz w:val="19"/>
              </w:rPr>
              <w:t>M1</w:t>
            </w:r>
          </w:p>
        </w:tc>
        <w:tc>
          <w:tcPr>
            <w:tcW w:type="dxa" w:w="7200"/>
            <w:vAlign w:val="center"/>
            <w:shd w:fill="F2F4F7"/>
          </w:tcPr>
          <w:p>
            <w:pPr>
              <w:spacing w:after="0"/>
            </w:pPr>
            <w:r/>
            <w:r>
              <w:rPr>
                <w:rFonts w:ascii="Aptos" w:hAnsi="Aptos"/>
                <w:b w:val="0"/>
                <w:color w:val="1F2937"/>
                <w:sz w:val="19"/>
              </w:rPr>
              <w:t>Proof of restricted-area access</w:t>
            </w:r>
          </w:p>
        </w:tc>
        <w:tc>
          <w:tcPr>
            <w:tcW w:type="dxa" w:w="1152"/>
            <w:vAlign w:val="center"/>
            <w:shd w:fill="F2F4F7"/>
          </w:tcPr>
          <w:p>
            <w:pPr>
              <w:spacing w:after="0"/>
            </w:pPr>
            <w:r/>
            <w:r>
              <w:rPr>
                <w:rFonts w:ascii="Aptos" w:hAnsi="Aptos"/>
                <w:b w:val="0"/>
                <w:color w:val="1F2937"/>
                <w:sz w:val="19"/>
              </w:rPr>
              <w:t>[ ]</w:t>
            </w:r>
          </w:p>
        </w:tc>
      </w:tr>
      <w:tr>
        <w:tc>
          <w:tcPr>
            <w:tcW w:type="dxa" w:w="1296"/>
            <w:vAlign w:val="center"/>
          </w:tcPr>
          <w:p>
            <w:pPr>
              <w:spacing w:after="0"/>
            </w:pPr>
            <w:r/>
            <w:r>
              <w:rPr>
                <w:rFonts w:ascii="Aptos" w:hAnsi="Aptos"/>
                <w:b w:val="0"/>
                <w:color w:val="1F2937"/>
                <w:sz w:val="19"/>
              </w:rPr>
              <w:t>M1</w:t>
            </w:r>
          </w:p>
        </w:tc>
        <w:tc>
          <w:tcPr>
            <w:tcW w:type="dxa" w:w="7200"/>
            <w:vAlign w:val="center"/>
          </w:tcPr>
          <w:p>
            <w:pPr>
              <w:spacing w:after="0"/>
            </w:pPr>
            <w:r/>
            <w:r>
              <w:rPr>
                <w:rFonts w:ascii="Aptos" w:hAnsi="Aptos"/>
                <w:b w:val="0"/>
                <w:color w:val="1F2937"/>
                <w:sz w:val="19"/>
              </w:rPr>
              <w:t>Three retrieved PDF reports</w:t>
            </w:r>
          </w:p>
        </w:tc>
        <w:tc>
          <w:tcPr>
            <w:tcW w:type="dxa" w:w="1152"/>
            <w:vAlign w:val="center"/>
          </w:tcPr>
          <w:p>
            <w:pPr>
              <w:spacing w:after="0"/>
            </w:pPr>
            <w:r/>
            <w:r>
              <w:rPr>
                <w:rFonts w:ascii="Aptos" w:hAnsi="Aptos"/>
                <w:b w:val="0"/>
                <w:color w:val="1F2937"/>
                <w:sz w:val="19"/>
              </w:rPr>
              <w:t>[ ]</w:t>
            </w:r>
          </w:p>
        </w:tc>
      </w:tr>
      <w:tr>
        <w:tc>
          <w:tcPr>
            <w:tcW w:type="dxa" w:w="1296"/>
            <w:vAlign w:val="center"/>
            <w:shd w:fill="F2F4F7"/>
          </w:tcPr>
          <w:p>
            <w:pPr>
              <w:spacing w:after="0"/>
            </w:pPr>
            <w:r/>
            <w:r>
              <w:rPr>
                <w:rFonts w:ascii="Aptos" w:hAnsi="Aptos"/>
                <w:b w:val="0"/>
                <w:color w:val="1F2937"/>
                <w:sz w:val="19"/>
              </w:rPr>
              <w:t>M2</w:t>
            </w:r>
          </w:p>
        </w:tc>
        <w:tc>
          <w:tcPr>
            <w:tcW w:type="dxa" w:w="7200"/>
            <w:vAlign w:val="center"/>
            <w:shd w:fill="F2F4F7"/>
          </w:tcPr>
          <w:p>
            <w:pPr>
              <w:spacing w:after="0"/>
            </w:pPr>
            <w:r/>
            <w:r>
              <w:rPr>
                <w:rFonts w:ascii="Aptos" w:hAnsi="Aptos"/>
                <w:b w:val="0"/>
                <w:color w:val="1F2937"/>
                <w:sz w:val="19"/>
              </w:rPr>
              <w:t>Protection/encryption analysis for PDF 1</w:t>
            </w:r>
          </w:p>
        </w:tc>
        <w:tc>
          <w:tcPr>
            <w:tcW w:type="dxa" w:w="1152"/>
            <w:vAlign w:val="center"/>
            <w:shd w:fill="F2F4F7"/>
          </w:tcPr>
          <w:p>
            <w:pPr>
              <w:spacing w:after="0"/>
            </w:pPr>
            <w:r/>
            <w:r>
              <w:rPr>
                <w:rFonts w:ascii="Aptos" w:hAnsi="Aptos"/>
                <w:b w:val="0"/>
                <w:color w:val="1F2937"/>
                <w:sz w:val="19"/>
              </w:rPr>
              <w:t>[ ]</w:t>
            </w:r>
          </w:p>
        </w:tc>
      </w:tr>
      <w:tr>
        <w:tc>
          <w:tcPr>
            <w:tcW w:type="dxa" w:w="1296"/>
            <w:vAlign w:val="center"/>
          </w:tcPr>
          <w:p>
            <w:pPr>
              <w:spacing w:after="0"/>
            </w:pPr>
            <w:r/>
            <w:r>
              <w:rPr>
                <w:rFonts w:ascii="Aptos" w:hAnsi="Aptos"/>
                <w:b w:val="0"/>
                <w:color w:val="1F2937"/>
                <w:sz w:val="19"/>
              </w:rPr>
              <w:t>M2</w:t>
            </w:r>
          </w:p>
        </w:tc>
        <w:tc>
          <w:tcPr>
            <w:tcW w:type="dxa" w:w="7200"/>
            <w:vAlign w:val="center"/>
          </w:tcPr>
          <w:p>
            <w:pPr>
              <w:spacing w:after="0"/>
            </w:pPr>
            <w:r/>
            <w:r>
              <w:rPr>
                <w:rFonts w:ascii="Aptos" w:hAnsi="Aptos"/>
                <w:b w:val="0"/>
                <w:color w:val="1F2937"/>
                <w:sz w:val="19"/>
              </w:rPr>
              <w:t>Protection/encryption analysis for PDF 2</w:t>
            </w:r>
          </w:p>
        </w:tc>
        <w:tc>
          <w:tcPr>
            <w:tcW w:type="dxa" w:w="1152"/>
            <w:vAlign w:val="center"/>
          </w:tcPr>
          <w:p>
            <w:pPr>
              <w:spacing w:after="0"/>
            </w:pPr>
            <w:r/>
            <w:r>
              <w:rPr>
                <w:rFonts w:ascii="Aptos" w:hAnsi="Aptos"/>
                <w:b w:val="0"/>
                <w:color w:val="1F2937"/>
                <w:sz w:val="19"/>
              </w:rPr>
              <w:t>[ ]</w:t>
            </w:r>
          </w:p>
        </w:tc>
      </w:tr>
      <w:tr>
        <w:tc>
          <w:tcPr>
            <w:tcW w:type="dxa" w:w="1296"/>
            <w:vAlign w:val="center"/>
            <w:shd w:fill="F2F4F7"/>
          </w:tcPr>
          <w:p>
            <w:pPr>
              <w:spacing w:after="0"/>
            </w:pPr>
            <w:r/>
            <w:r>
              <w:rPr>
                <w:rFonts w:ascii="Aptos" w:hAnsi="Aptos"/>
                <w:b w:val="0"/>
                <w:color w:val="1F2937"/>
                <w:sz w:val="19"/>
              </w:rPr>
              <w:t>M2</w:t>
            </w:r>
          </w:p>
        </w:tc>
        <w:tc>
          <w:tcPr>
            <w:tcW w:type="dxa" w:w="7200"/>
            <w:vAlign w:val="center"/>
            <w:shd w:fill="F2F4F7"/>
          </w:tcPr>
          <w:p>
            <w:pPr>
              <w:spacing w:after="0"/>
            </w:pPr>
            <w:r/>
            <w:r>
              <w:rPr>
                <w:rFonts w:ascii="Aptos" w:hAnsi="Aptos"/>
                <w:b w:val="0"/>
                <w:color w:val="1F2937"/>
                <w:sz w:val="19"/>
              </w:rPr>
              <w:t>Protection/encryption analysis for PDF 3</w:t>
            </w:r>
          </w:p>
        </w:tc>
        <w:tc>
          <w:tcPr>
            <w:tcW w:type="dxa" w:w="1152"/>
            <w:vAlign w:val="center"/>
            <w:shd w:fill="F2F4F7"/>
          </w:tcPr>
          <w:p>
            <w:pPr>
              <w:spacing w:after="0"/>
            </w:pPr>
            <w:r/>
            <w:r>
              <w:rPr>
                <w:rFonts w:ascii="Aptos" w:hAnsi="Aptos"/>
                <w:b w:val="0"/>
                <w:color w:val="1F2937"/>
                <w:sz w:val="19"/>
              </w:rPr>
              <w:t>[ ]</w:t>
            </w:r>
          </w:p>
        </w:tc>
      </w:tr>
      <w:tr>
        <w:tc>
          <w:tcPr>
            <w:tcW w:type="dxa" w:w="1296"/>
            <w:vAlign w:val="center"/>
          </w:tcPr>
          <w:p>
            <w:pPr>
              <w:spacing w:after="0"/>
            </w:pPr>
            <w:r/>
            <w:r>
              <w:rPr>
                <w:rFonts w:ascii="Aptos" w:hAnsi="Aptos"/>
                <w:b w:val="0"/>
                <w:color w:val="1F2937"/>
                <w:sz w:val="19"/>
              </w:rPr>
              <w:t>M2</w:t>
            </w:r>
          </w:p>
        </w:tc>
        <w:tc>
          <w:tcPr>
            <w:tcW w:type="dxa" w:w="7200"/>
            <w:vAlign w:val="center"/>
          </w:tcPr>
          <w:p>
            <w:pPr>
              <w:spacing w:after="0"/>
            </w:pPr>
            <w:r/>
            <w:r>
              <w:rPr>
                <w:rFonts w:ascii="Aptos" w:hAnsi="Aptos"/>
                <w:b w:val="0"/>
                <w:color w:val="1F2937"/>
                <w:sz w:val="19"/>
              </w:rPr>
              <w:t>Recovered contents / successful access proof</w:t>
            </w:r>
          </w:p>
        </w:tc>
        <w:tc>
          <w:tcPr>
            <w:tcW w:type="dxa" w:w="1152"/>
            <w:vAlign w:val="center"/>
          </w:tcPr>
          <w:p>
            <w:pPr>
              <w:spacing w:after="0"/>
            </w:pPr>
            <w:r/>
            <w:r>
              <w:rPr>
                <w:rFonts w:ascii="Aptos" w:hAnsi="Aptos"/>
                <w:b w:val="0"/>
                <w:color w:val="1F2937"/>
                <w:sz w:val="19"/>
              </w:rPr>
              <w:t>[ ]</w:t>
            </w:r>
          </w:p>
        </w:tc>
      </w:tr>
      <w:tr>
        <w:tc>
          <w:tcPr>
            <w:tcW w:type="dxa" w:w="1296"/>
            <w:vAlign w:val="center"/>
            <w:shd w:fill="F2F4F7"/>
          </w:tcPr>
          <w:p>
            <w:pPr>
              <w:spacing w:after="0"/>
            </w:pPr>
            <w:r/>
            <w:r>
              <w:rPr>
                <w:rFonts w:ascii="Aptos" w:hAnsi="Aptos"/>
                <w:b w:val="0"/>
                <w:color w:val="1F2937"/>
                <w:sz w:val="19"/>
              </w:rPr>
              <w:t>M3</w:t>
            </w:r>
          </w:p>
        </w:tc>
        <w:tc>
          <w:tcPr>
            <w:tcW w:type="dxa" w:w="7200"/>
            <w:vAlign w:val="center"/>
            <w:shd w:fill="F2F4F7"/>
          </w:tcPr>
          <w:p>
            <w:pPr>
              <w:spacing w:after="0"/>
            </w:pPr>
            <w:r/>
            <w:r>
              <w:rPr>
                <w:rFonts w:ascii="Aptos" w:hAnsi="Aptos"/>
                <w:b w:val="0"/>
                <w:color w:val="1F2937"/>
                <w:sz w:val="19"/>
              </w:rPr>
              <w:t>Metadata/property analysis</w:t>
            </w:r>
          </w:p>
        </w:tc>
        <w:tc>
          <w:tcPr>
            <w:tcW w:type="dxa" w:w="1152"/>
            <w:vAlign w:val="center"/>
            <w:shd w:fill="F2F4F7"/>
          </w:tcPr>
          <w:p>
            <w:pPr>
              <w:spacing w:after="0"/>
            </w:pPr>
            <w:r/>
            <w:r>
              <w:rPr>
                <w:rFonts w:ascii="Aptos" w:hAnsi="Aptos"/>
                <w:b w:val="0"/>
                <w:color w:val="1F2937"/>
                <w:sz w:val="19"/>
              </w:rPr>
              <w:t>[ ]</w:t>
            </w:r>
          </w:p>
        </w:tc>
      </w:tr>
      <w:tr>
        <w:tc>
          <w:tcPr>
            <w:tcW w:type="dxa" w:w="1296"/>
            <w:vAlign w:val="center"/>
          </w:tcPr>
          <w:p>
            <w:pPr>
              <w:spacing w:after="0"/>
            </w:pPr>
            <w:r/>
            <w:r>
              <w:rPr>
                <w:rFonts w:ascii="Aptos" w:hAnsi="Aptos"/>
                <w:b w:val="0"/>
                <w:color w:val="1F2937"/>
                <w:sz w:val="19"/>
              </w:rPr>
              <w:t>M3</w:t>
            </w:r>
          </w:p>
        </w:tc>
        <w:tc>
          <w:tcPr>
            <w:tcW w:type="dxa" w:w="7200"/>
            <w:vAlign w:val="center"/>
          </w:tcPr>
          <w:p>
            <w:pPr>
              <w:spacing w:after="0"/>
            </w:pPr>
            <w:r/>
            <w:r>
              <w:rPr>
                <w:rFonts w:ascii="Aptos" w:hAnsi="Aptos"/>
                <w:b w:val="0"/>
                <w:color w:val="1F2937"/>
                <w:sz w:val="19"/>
              </w:rPr>
              <w:t>Proof of the larger server-side exposure</w:t>
            </w:r>
          </w:p>
        </w:tc>
        <w:tc>
          <w:tcPr>
            <w:tcW w:type="dxa" w:w="1152"/>
            <w:vAlign w:val="center"/>
          </w:tcPr>
          <w:p>
            <w:pPr>
              <w:spacing w:after="0"/>
            </w:pPr>
            <w:r/>
            <w:r>
              <w:rPr>
                <w:rFonts w:ascii="Aptos" w:hAnsi="Aptos"/>
                <w:b w:val="0"/>
                <w:color w:val="1F2937"/>
                <w:sz w:val="19"/>
              </w:rPr>
              <w:t>[ ]</w:t>
            </w:r>
          </w:p>
        </w:tc>
      </w:tr>
      <w:tr>
        <w:tc>
          <w:tcPr>
            <w:tcW w:type="dxa" w:w="1296"/>
            <w:vAlign w:val="center"/>
            <w:shd w:fill="F2F4F7"/>
          </w:tcPr>
          <w:p>
            <w:pPr>
              <w:spacing w:after="0"/>
            </w:pPr>
            <w:r/>
            <w:r>
              <w:rPr>
                <w:rFonts w:ascii="Aptos" w:hAnsi="Aptos"/>
                <w:b w:val="0"/>
                <w:color w:val="1F2937"/>
                <w:sz w:val="19"/>
              </w:rPr>
              <w:t>M3</w:t>
            </w:r>
          </w:p>
        </w:tc>
        <w:tc>
          <w:tcPr>
            <w:tcW w:type="dxa" w:w="7200"/>
            <w:vAlign w:val="center"/>
            <w:shd w:fill="F2F4F7"/>
          </w:tcPr>
          <w:p>
            <w:pPr>
              <w:spacing w:after="0"/>
            </w:pPr>
            <w:r/>
            <w:r>
              <w:rPr>
                <w:rFonts w:ascii="Aptos" w:hAnsi="Aptos"/>
                <w:b w:val="0"/>
                <w:color w:val="1F2937"/>
                <w:sz w:val="19"/>
              </w:rPr>
              <w:t>Sanitized employee salary summary</w:t>
            </w:r>
          </w:p>
        </w:tc>
        <w:tc>
          <w:tcPr>
            <w:tcW w:type="dxa" w:w="1152"/>
            <w:vAlign w:val="center"/>
            <w:shd w:fill="F2F4F7"/>
          </w:tcPr>
          <w:p>
            <w:pPr>
              <w:spacing w:after="0"/>
            </w:pPr>
            <w:r/>
            <w:r>
              <w:rPr>
                <w:rFonts w:ascii="Aptos" w:hAnsi="Aptos"/>
                <w:b w:val="0"/>
                <w:color w:val="1F2937"/>
                <w:sz w:val="19"/>
              </w:rPr>
              <w:t>[ ]</w:t>
            </w:r>
          </w:p>
        </w:tc>
      </w:tr>
      <w:tr>
        <w:tc>
          <w:tcPr>
            <w:tcW w:type="dxa" w:w="1296"/>
            <w:vAlign w:val="center"/>
          </w:tcPr>
          <w:p>
            <w:pPr>
              <w:spacing w:after="0"/>
            </w:pPr>
            <w:r/>
            <w:r>
              <w:rPr>
                <w:rFonts w:ascii="Aptos" w:hAnsi="Aptos"/>
                <w:b w:val="0"/>
                <w:color w:val="1F2937"/>
                <w:sz w:val="19"/>
              </w:rPr>
              <w:t>M3</w:t>
            </w:r>
          </w:p>
        </w:tc>
        <w:tc>
          <w:tcPr>
            <w:tcW w:type="dxa" w:w="7200"/>
            <w:vAlign w:val="center"/>
          </w:tcPr>
          <w:p>
            <w:pPr>
              <w:spacing w:after="0"/>
            </w:pPr>
            <w:r/>
            <w:r>
              <w:rPr>
                <w:rFonts w:ascii="Aptos" w:hAnsi="Aptos"/>
                <w:b w:val="0"/>
                <w:color w:val="1F2937"/>
                <w:sz w:val="19"/>
              </w:rPr>
              <w:t>Sanitized shareholder summary</w:t>
            </w:r>
          </w:p>
        </w:tc>
        <w:tc>
          <w:tcPr>
            <w:tcW w:type="dxa" w:w="1152"/>
            <w:vAlign w:val="center"/>
          </w:tcPr>
          <w:p>
            <w:pPr>
              <w:spacing w:after="0"/>
            </w:pPr>
            <w:r/>
            <w:r>
              <w:rPr>
                <w:rFonts w:ascii="Aptos" w:hAnsi="Aptos"/>
                <w:b w:val="0"/>
                <w:color w:val="1F2937"/>
                <w:sz w:val="19"/>
              </w:rPr>
              <w:t>[ ]</w:t>
            </w:r>
          </w:p>
        </w:tc>
      </w:tr>
      <w:tr>
        <w:tc>
          <w:tcPr>
            <w:tcW w:type="dxa" w:w="1296"/>
            <w:vAlign w:val="center"/>
            <w:shd w:fill="F2F4F7"/>
          </w:tcPr>
          <w:p>
            <w:pPr>
              <w:spacing w:after="0"/>
            </w:pPr>
            <w:r/>
            <w:r>
              <w:rPr>
                <w:rFonts w:ascii="Aptos" w:hAnsi="Aptos"/>
                <w:b w:val="0"/>
                <w:color w:val="1F2937"/>
                <w:sz w:val="19"/>
              </w:rPr>
              <w:t>M4</w:t>
            </w:r>
          </w:p>
        </w:tc>
        <w:tc>
          <w:tcPr>
            <w:tcW w:type="dxa" w:w="7200"/>
            <w:vAlign w:val="center"/>
            <w:shd w:fill="F2F4F7"/>
          </w:tcPr>
          <w:p>
            <w:pPr>
              <w:spacing w:after="0"/>
            </w:pPr>
            <w:r/>
            <w:r>
              <w:rPr>
                <w:rFonts w:ascii="Aptos" w:hAnsi="Aptos"/>
                <w:b w:val="0"/>
                <w:color w:val="1F2937"/>
                <w:sz w:val="19"/>
              </w:rPr>
              <w:t>Finding-specific screenshots inserted</w:t>
            </w:r>
          </w:p>
        </w:tc>
        <w:tc>
          <w:tcPr>
            <w:tcW w:type="dxa" w:w="1152"/>
            <w:vAlign w:val="center"/>
            <w:shd w:fill="F2F4F7"/>
          </w:tcPr>
          <w:p>
            <w:pPr>
              <w:spacing w:after="0"/>
            </w:pPr>
            <w:r/>
            <w:r>
              <w:rPr>
                <w:rFonts w:ascii="Aptos" w:hAnsi="Aptos"/>
                <w:b w:val="0"/>
                <w:color w:val="1F2937"/>
                <w:sz w:val="19"/>
              </w:rPr>
              <w:t>[ ]</w:t>
            </w:r>
          </w:p>
        </w:tc>
      </w:tr>
      <w:tr>
        <w:tc>
          <w:tcPr>
            <w:tcW w:type="dxa" w:w="1296"/>
            <w:vAlign w:val="center"/>
          </w:tcPr>
          <w:p>
            <w:pPr>
              <w:spacing w:after="0"/>
            </w:pPr>
            <w:r/>
            <w:r>
              <w:rPr>
                <w:rFonts w:ascii="Aptos" w:hAnsi="Aptos"/>
                <w:b w:val="0"/>
                <w:color w:val="1F2937"/>
                <w:sz w:val="19"/>
              </w:rPr>
              <w:t>M4</w:t>
            </w:r>
          </w:p>
        </w:tc>
        <w:tc>
          <w:tcPr>
            <w:tcW w:type="dxa" w:w="7200"/>
            <w:vAlign w:val="center"/>
          </w:tcPr>
          <w:p>
            <w:pPr>
              <w:spacing w:after="0"/>
            </w:pPr>
            <w:r/>
            <w:r>
              <w:rPr>
                <w:rFonts w:ascii="Aptos" w:hAnsi="Aptos"/>
                <w:b w:val="0"/>
                <w:color w:val="1F2937"/>
                <w:sz w:val="19"/>
              </w:rPr>
              <w:t>Risk ratings justified</w:t>
            </w:r>
          </w:p>
        </w:tc>
        <w:tc>
          <w:tcPr>
            <w:tcW w:type="dxa" w:w="1152"/>
            <w:vAlign w:val="center"/>
          </w:tcPr>
          <w:p>
            <w:pPr>
              <w:spacing w:after="0"/>
            </w:pPr>
            <w:r/>
            <w:r>
              <w:rPr>
                <w:rFonts w:ascii="Aptos" w:hAnsi="Aptos"/>
                <w:b w:val="0"/>
                <w:color w:val="1F2937"/>
                <w:sz w:val="19"/>
              </w:rPr>
              <w:t>[ ]</w:t>
            </w:r>
          </w:p>
        </w:tc>
      </w:tr>
      <w:tr>
        <w:tc>
          <w:tcPr>
            <w:tcW w:type="dxa" w:w="1296"/>
            <w:vAlign w:val="center"/>
            <w:shd w:fill="F2F4F7"/>
          </w:tcPr>
          <w:p>
            <w:pPr>
              <w:spacing w:after="0"/>
            </w:pPr>
            <w:r/>
            <w:r>
              <w:rPr>
                <w:rFonts w:ascii="Aptos" w:hAnsi="Aptos"/>
                <w:b w:val="0"/>
                <w:color w:val="1F2937"/>
                <w:sz w:val="19"/>
              </w:rPr>
              <w:t>M4</w:t>
            </w:r>
          </w:p>
        </w:tc>
        <w:tc>
          <w:tcPr>
            <w:tcW w:type="dxa" w:w="7200"/>
            <w:vAlign w:val="center"/>
            <w:shd w:fill="F2F4F7"/>
          </w:tcPr>
          <w:p>
            <w:pPr>
              <w:spacing w:after="0"/>
            </w:pPr>
            <w:r/>
            <w:r>
              <w:rPr>
                <w:rFonts w:ascii="Aptos" w:hAnsi="Aptos"/>
                <w:b w:val="0"/>
                <w:color w:val="1F2937"/>
                <w:sz w:val="19"/>
              </w:rPr>
              <w:t>Recommendations tied to findings</w:t>
            </w:r>
          </w:p>
        </w:tc>
        <w:tc>
          <w:tcPr>
            <w:tcW w:type="dxa" w:w="1152"/>
            <w:vAlign w:val="center"/>
            <w:shd w:fill="F2F4F7"/>
          </w:tcPr>
          <w:p>
            <w:pPr>
              <w:spacing w:after="0"/>
            </w:pPr>
            <w:r/>
            <w:r>
              <w:rPr>
                <w:rFonts w:ascii="Aptos" w:hAnsi="Aptos"/>
                <w:b w:val="0"/>
                <w:color w:val="1F2937"/>
                <w:sz w:val="19"/>
              </w:rPr>
              <w:t>[ ]</w:t>
            </w:r>
          </w:p>
        </w:tc>
      </w:tr>
    </w:tbl>
    <w:p/>
    <w:p>
      <w:pPr>
        <w:pStyle w:val="Heading1"/>
      </w:pPr>
      <w:r>
        <w:t>Appendix B — Repository Layout</w:t>
      </w:r>
    </w:p>
    <w:p>
      <w:r>
        <w:rPr>
          <w:rFonts w:ascii="Courier New" w:hAnsi="Courier New"/>
          <w:sz w:val="18"/>
        </w:rPr>
        <w:t>.</w:t>
        <w:br/>
        <w:t>├── M1-initial-access/</w:t>
        <w:br/>
        <w:t>│   └── screenshots/</w:t>
        <w:br/>
        <w:t>├── M2-data-extraction/</w:t>
        <w:br/>
        <w:t>│   └── screenshots/</w:t>
        <w:br/>
        <w:t>├── M3-data-exposure/</w:t>
        <w:br/>
        <w:t>│   └── screenshots/</w:t>
        <w:br/>
        <w:t>├── M4-report/</w:t>
        <w:br/>
        <w:t>│   └── pentest-report.docx</w:t>
        <w:br/>
        <w:t>└── README.md</w:t>
      </w:r>
    </w:p>
    <w:p>
      <w:pPr>
        <w:pStyle w:val="Heading1"/>
      </w:pPr>
      <w:r>
        <w:t>Appendix C — Disclaimer</w:t>
      </w:r>
    </w:p>
    <w:p>
      <w:r>
        <w:t>This engagement is conducted in a controlled environment for educational purposes only, against a target Networkwalks has authorised for testing as part of this internship. These techniques must never be applied to any system without explicit written permission from the owner.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Confidential — Educational Training Engagement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NETWORKWALKS | MEDIROZA GENERAL HOSPITAL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