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160"/>
        <w:jc w:val="center"/>
      </w:pPr>
      <w:r>
        <w:rPr>
          <w:rFonts w:ascii="Calibri" w:cs="Calibri" w:eastAsia="Calibri" w:hAnsi="Calibri"/>
          <w:b/>
          <w:bCs/>
          <w:color w:val="1B4F72"/>
          <w:sz w:val="56"/>
          <w:szCs w:val="56"/>
        </w:rPr>
        <w:t xml:space="preserve">Wonderist Agency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C3E50"/>
          <w:sz w:val="32"/>
          <w:szCs w:val="32"/>
        </w:rPr>
        <w:t xml:space="preserve">Competitive Teardown Report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2980B9"/>
          <w:sz w:val="24"/>
          <w:szCs w:val="24"/>
        </w:rPr>
        <w:t xml:space="preserve">Dental Marketing Built Around Your Story</w:t>
      </w:r>
    </w:p>
    <w:p>
      <w:pPr>
        <w:spacing w:after="80" w:before="480"/>
        <w:jc w:val="center"/>
      </w:pPr>
      <w:r>
        <w:rPr>
          <w:rFonts w:ascii="Calibri" w:cs="Calibri" w:eastAsia="Calibri" w:hAnsi="Calibri"/>
          <w:b/>
          <w:bCs/>
          <w:color w:val="D4AC0D"/>
          <w:sz w:val="28"/>
          <w:szCs w:val="28"/>
        </w:rPr>
        <w:t xml:space="preserve">Threat Level: MEDIUM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color w:val="666666"/>
          <w:sz w:val="20"/>
          <w:szCs w:val="20"/>
        </w:rPr>
        <w:t xml:space="preserve">February 2026 | Ekwa Marketing | Confidential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36"/>
          <w:szCs w:val="36"/>
        </w:rPr>
        <w:t xml:space="preserve">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Website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wonderistagency.com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Founded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2012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Est. Clients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200-400 (boutique)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Geography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Primary Audience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Independent dental practices seeking brand differentiation</w:t>
            </w:r>
          </w:p>
        </w:tc>
      </w:tr>
      <w:tr>
        <w:tc>
          <w:tcPr>
            <w:tcW w:type="dxa" w:w="240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54360"/>
                <w:sz w:val="20"/>
                <w:szCs w:val="20"/>
              </w:rPr>
              <w:t xml:space="preserve">Threat to Ekwa</w:t>
            </w:r>
          </w:p>
        </w:tc>
        <w:tc>
          <w:tcPr>
            <w:tcW w:type="dxa" w:w="6960"/>
            <w:tcBorders>
              <w:top w:val="single" w:color="BDC3C7" w:sz="4"/>
              <w:left w:val="single" w:color="BDC3C7" w:sz="4"/>
              <w:bottom w:val="single" w:color="BDC3C7" w:sz="4"/>
              <w:right w:val="single" w:color="BDC3C7" w:sz="4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120" w:before="24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1. Core Value Proposition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Promise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Build a uniquely compelling brand and community presence that attracts patients based on genuine connection — not just search rankings.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Evidence / Proof Points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Boutique reputation; strong client testimonials; dental industry recognition; differentiated positioning on storytelling vs. performance marketing.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Mechanism (How It Works)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Deep practice immersion: brand strategy + storytelling + community engagement + digital presence. They embed themselves in the practice culture and build marketing around the dentist's authentic personality and community role.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Uniqueness Claim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Brand and storytelling first. Emotional patient connection as primary driver. Positions against 'cookie-cutter' digital marketing agencies.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2. Estimated Cost Structure &amp; Margins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Pricing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Mid-to-premium pricing. Estimated $1,200–$3,500/month. Custom proposals require consultation. No published pricing.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Revenue Model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Monthly retainer-based. Custom project fees for branding work.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Estimated Gross Margin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55–70% due to boutique model — fewer clients per team member but higher billing rates. Limited by labor intensity of bespoke creative work.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Funding / Business Status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Privately owned, likely bootstrapped or minimal outside investment. Boutique agency economics.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Margin Driver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Creative reputation commands premium pricing; low client count relative to team size means high-touch service is economically viable.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3. Go-to-Market Strategy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Overall Strategy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Referral-driven growth from happy clients. Strong dental community relationships. Content marketing on dental brand differentiation. Social media thought leadership. Word-of-mouth from the dental community.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Sales Motion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Inbound-led: reputation and referrals drive prospects. Consultative sales process emphasizing brand differentiation.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Key Channels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Referrals, dental community word-of-mouth, dental conferences (local/regional), social media (Instagram particularly for dental aesthetics), dental association presentations.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Primary Content Themes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Dental practice brand identity, patient community building, storytelling, practice differentiation, emotional patient connection.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4. Technological / Operational Moats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Technology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Limited technology moat. Agency model without proprietary platform.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Operational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Creative reputation and portfolio; boutique brand; dental community trust; client relationship depth.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Data Moat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Client brand narratives and community engagement data — not easily quantifiable but creates practice loyalty.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Switching Costs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Emotional brand investment: practices deeply invested in their story and brand identity don't want to restart with a new agency.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B4F72"/>
          <w:sz w:val="28"/>
          <w:szCs w:val="28"/>
        </w:rPr>
        <w:t xml:space="preserve">5. Key Vulnerabilities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Primary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Limited scalability: bespoke creative work doesn't scale. Growing means diluting quality.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Secondary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Weak data and analytics capabilities. In an ROI-focused market, 'brand storytelling' is hard to justify with a clear dollar-in, dollar-out metric.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Tertiary Vulnerability</w:t>
      </w:r>
    </w:p>
    <w:p>
      <w:pPr>
        <w:spacing w:after="100" w:before="60"/>
      </w:pPr>
      <w:r>
        <w:rPr>
          <w:rFonts w:ascii="Calibri" w:cs="Calibri" w:eastAsia="Calibri" w:hAnsi="Calibri"/>
          <w:color w:val="C0392B"/>
          <w:sz w:val="22"/>
          <w:szCs w:val="22"/>
        </w:rPr>
        <w:t xml:space="preserve">High founder dependency. If key creative leaders leave, agency quality and reputation may suffer.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Services Gap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Limited DSO or multi-location capability. Enterprise practices need reporting, centralization, and process — Wonderist specializes in individual practice stories.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D4AC0D"/>
          <w:sz w:val="24"/>
          <w:szCs w:val="24"/>
        </w:rPr>
        <w:t xml:space="preserve">Reputation Risk</w:t>
      </w:r>
    </w:p>
    <w:p>
      <w:pPr>
        <w:spacing w:after="100" w:before="60"/>
      </w:pPr>
      <w:r>
        <w:rPr>
          <w:rFonts w:ascii="Calibri" w:cs="Calibri" w:eastAsia="Calibri" w:hAnsi="Calibri"/>
          <w:color w:val="D4AC0D"/>
          <w:sz w:val="22"/>
          <w:szCs w:val="22"/>
        </w:rPr>
        <w:t xml:space="preserve">As practices mature and demand data-driven ROI accountability, brand-first agencies face growing pressure to justify spend.</w:t>
      </w:r>
    </w:p>
    <w:p>
      <w:r>
        <w:br w:type="page"/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8"/>
          <w:szCs w:val="28"/>
        </w:rPr>
        <w:t xml:space="preserve">6. Ekwa Competitive Position &amp; Battlecard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Target Segment to Poach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Practices that love Wonderist's branding philosophy but need more measurable patient acquisition results.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Our Key Message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1E8449"/>
          <w:sz w:val="22"/>
          <w:szCs w:val="22"/>
        </w:rPr>
        <w:t xml:space="preserve">Your story should bring patients through the door. Ekwa tells it and measures the results.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Sales Battlecard Pitch</w:t>
      </w:r>
    </w:p>
    <w:p>
      <w:pPr>
        <w:spacing w:after="100" w:before="60"/>
      </w:pPr>
      <w:r>
        <w:rPr>
          <w:rFonts w:ascii="Calibri" w:cs="Calibri" w:eastAsia="Calibri" w:hAnsi="Calibri"/>
          <w:sz w:val="22"/>
          <w:szCs w:val="22"/>
        </w:rPr>
        <w:t xml:space="preserve">Ekwa delivers both: a compelling practice brand AND measurable patient acquisition results. We've helped 400+ dental practices build their identity AND track every new patient who found them online. Brand and performance aren't opposites — we do both.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1E8449"/>
          <w:sz w:val="24"/>
          <w:szCs w:val="24"/>
        </w:rPr>
        <w:t xml:space="preserve">Proof Points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Content strategy that builds practice authority AND organic search rankings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16+ years of brand-building + SEO combined</w:t>
      </w:r>
    </w:p>
    <w:p>
      <w:pPr>
        <w:pStyle w:val="ListParagraph"/>
        <w:numPr>
          <w:ilvl w:val="0"/>
          <w:numId w:val="2"/>
        </w:numPr>
        <w:spacing w:after="80" w:before="60"/>
      </w:pPr>
      <w:r>
        <w:rPr>
          <w:rFonts w:ascii="Calibri" w:cs="Calibri" w:eastAsia="Calibri" w:hAnsi="Calibri"/>
          <w:sz w:val="22"/>
          <w:szCs w:val="22"/>
        </w:rPr>
        <w:t xml:space="preserve">Measurable: monthly new patient reporting</w:t>
      </w:r>
    </w:p>
    <w:p>
      <w:pPr>
        <w:pStyle w:val="Heading3"/>
        <w:spacing w:after="140" w:before="28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Objection Handling</w:t>
      </w: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"Wonderist is great at brand storytelling"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Brand storytelling matters — but patients still Google 'dentist near me.' We build your story AND ensure you're found when they search.</w:t>
      </w:r>
    </w:p>
    <w:p>
      <w:pPr>
        <w:spacing w:after="40" w:before="40"/>
      </w:pPr>
    </w:p>
    <w:p>
      <w:pPr>
        <w:spacing w:after="100" w:before="60"/>
      </w:pPr>
      <w:r>
        <w:rPr>
          <w:rFonts w:ascii="Calibri" w:cs="Calibri" w:eastAsia="Calibri" w:hAnsi="Calibri"/>
          <w:b/>
          <w:bCs/>
          <w:color w:val="2980B9"/>
          <w:sz w:val="22"/>
          <w:szCs w:val="22"/>
        </w:rPr>
        <w:t xml:space="preserve">Q: "Wonderist deeply understands our culture"</w:t>
      </w:r>
    </w:p>
    <w:p>
      <w:pPr>
        <w:spacing w:after="100" w:before="60"/>
      </w:pPr>
      <w:r>
        <w:rPr>
          <w:rFonts w:ascii="Calibri" w:cs="Calibri" w:eastAsia="Calibri" w:hAnsi="Calibri"/>
          <w:color w:val="1E8449"/>
          <w:sz w:val="22"/>
          <w:szCs w:val="22"/>
        </w:rPr>
        <w:t xml:space="preserve">A: We commit to understanding your practice too. Every Ekwa client has a dedicated account team, not a rotating list of project managers.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© 2026 Ekwa Marketing | Internal Use Only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6"/>
      </w:pBdr>
      <w:jc w:val="right"/>
    </w:pPr>
    <w:r>
      <w:rPr>
        <w:rFonts w:ascii="Calibri" w:cs="Calibri" w:eastAsia="Calibri" w:hAnsi="Calibri"/>
        <w:color w:val="1B4F72"/>
        <w:sz w:val="18"/>
        <w:szCs w:val="18"/>
      </w:rPr>
      <w:t xml:space="preserve">Ekwa Marketing | Wonderist Agency Competitor Teardown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2026-02-28T15:44:46.113Z</dcterms:created>
  <dcterms:modified xsi:type="dcterms:W3CDTF">2026-02-28T15:44:46.113Z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