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160"/>
        <w:jc w:val="center"/>
      </w:pPr>
      <w:r>
        <w:rPr>
          <w:rFonts w:ascii="Calibri" w:cs="Calibri" w:eastAsia="Calibri" w:hAnsi="Calibri"/>
          <w:b/>
          <w:bCs/>
          <w:color w:val="1B4F72"/>
          <w:sz w:val="56"/>
          <w:szCs w:val="56"/>
        </w:rPr>
        <w:t xml:space="preserve">Web Marketing for Dentists</w:t>
      </w:r>
    </w:p>
    <w:p>
      <w:pPr>
        <w:spacing w:after="80" w:before="80"/>
        <w:jc w:val="center"/>
      </w:pPr>
      <w:r>
        <w:rPr>
          <w:rFonts w:ascii="Calibri" w:cs="Calibri" w:eastAsia="Calibri" w:hAnsi="Calibri"/>
          <w:color w:val="2C3E50"/>
          <w:sz w:val="32"/>
          <w:szCs w:val="32"/>
        </w:rPr>
        <w:t xml:space="preserve">Competitive Teardown Report</w:t>
      </w:r>
    </w:p>
    <w:p>
      <w:pPr>
        <w:spacing w:after="80" w:before="80"/>
        <w:jc w:val="center"/>
      </w:pPr>
      <w:r>
        <w:rPr>
          <w:rFonts w:ascii="Calibri" w:cs="Calibri" w:eastAsia="Calibri" w:hAnsi="Calibri"/>
          <w:color w:val="2980B9"/>
          <w:sz w:val="24"/>
          <w:szCs w:val="24"/>
        </w:rPr>
        <w:t xml:space="preserve">The Dental Marketing Specialists with $60M+ in Managed Ad Spend</w:t>
      </w:r>
    </w:p>
    <w:p>
      <w:pPr>
        <w:spacing w:after="80" w:before="480"/>
        <w:jc w:val="center"/>
      </w:pPr>
      <w:r>
        <w:rPr>
          <w:rFonts w:ascii="Calibri" w:cs="Calibri" w:eastAsia="Calibri" w:hAnsi="Calibri"/>
          <w:b/>
          <w:bCs/>
          <w:color w:val="D4AC0D"/>
          <w:sz w:val="28"/>
          <w:szCs w:val="28"/>
        </w:rPr>
        <w:t xml:space="preserve">Threat Level: MEDIUM</w:t>
      </w:r>
    </w:p>
    <w:p>
      <w:pPr>
        <w:spacing w:after="80" w:before="80"/>
        <w:jc w:val="center"/>
      </w:pPr>
      <w:r>
        <w:rPr>
          <w:rFonts w:ascii="Calibri" w:cs="Calibri" w:eastAsia="Calibri" w:hAnsi="Calibri"/>
          <w:color w:val="666666"/>
          <w:sz w:val="20"/>
          <w:szCs w:val="20"/>
        </w:rPr>
        <w:t xml:space="preserve">February 2026 | Ekwa Marketing | Confidential</w:t>
      </w:r>
    </w:p>
    <w:p>
      <w:r>
        <w:br w:type="page"/>
      </w:r>
    </w:p>
    <w:p>
      <w:pPr>
        <w:pStyle w:val="Heading1"/>
        <w:spacing w:after="140" w:before="280"/>
      </w:pPr>
      <w:r>
        <w:rPr>
          <w:rFonts w:ascii="Calibri" w:cs="Calibri" w:eastAsia="Calibri" w:hAnsi="Calibri"/>
          <w:b/>
          <w:bCs/>
          <w:color w:val="1B4F72"/>
          <w:sz w:val="36"/>
          <w:szCs w:val="36"/>
        </w:rPr>
        <w:t xml:space="preserve">Company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4"/>
              <w:left w:val="single" w:color="BDC3C7" w:sz="4"/>
              <w:bottom w:val="single" w:color="BDC3C7" w:sz="4"/>
              <w:right w:val="single" w:color="BDC3C7" w:sz="4"/>
            </w:tcBorders>
            <w:shd w:fill="D6EAF8" w:val="clear"/>
            <w:tcMar>
              <w:top w:type="dxa" w:w="80"/>
              <w:left w:type="dxa" w:w="120"/>
              <w:bottom w:type="dxa" w:w="80"/>
              <w:right w:type="dxa" w:w="80"/>
            </w:tcMar>
          </w:tcPr>
          <w:p>
            <w:pPr>
              <w:spacing w:after="40" w:before="40"/>
            </w:pPr>
            <w:r>
              <w:rPr>
                <w:rFonts w:ascii="Calibri" w:cs="Calibri" w:eastAsia="Calibri" w:hAnsi="Calibri"/>
                <w:b/>
                <w:bCs/>
                <w:color w:val="154360"/>
                <w:sz w:val="20"/>
                <w:szCs w:val="20"/>
              </w:rPr>
              <w:t xml:space="preserve">Website</w:t>
            </w:r>
          </w:p>
        </w:tc>
        <w:tc>
          <w:tcPr>
            <w:tcW w:type="dxa" w:w="69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80"/>
            </w:tcMar>
          </w:tcPr>
          <w:p>
            <w:pPr>
              <w:spacing w:after="40" w:before="40"/>
            </w:pPr>
            <w:r>
              <w:rPr>
                <w:rFonts w:ascii="Calibri" w:cs="Calibri" w:eastAsia="Calibri" w:hAnsi="Calibri"/>
                <w:sz w:val="20"/>
                <w:szCs w:val="20"/>
              </w:rPr>
              <w:t xml:space="preserve">webmarketingfordentists.com</w:t>
            </w:r>
          </w:p>
        </w:tc>
      </w:tr>
      <w:tr>
        <w:tc>
          <w:tcPr>
            <w:tcW w:type="dxa" w:w="2400"/>
            <w:tcBorders>
              <w:top w:val="single" w:color="BDC3C7" w:sz="4"/>
              <w:left w:val="single" w:color="BDC3C7" w:sz="4"/>
              <w:bottom w:val="single" w:color="BDC3C7" w:sz="4"/>
              <w:right w:val="single" w:color="BDC3C7" w:sz="4"/>
            </w:tcBorders>
            <w:shd w:fill="D6EAF8" w:val="clear"/>
            <w:tcMar>
              <w:top w:type="dxa" w:w="80"/>
              <w:left w:type="dxa" w:w="120"/>
              <w:bottom w:type="dxa" w:w="80"/>
              <w:right w:type="dxa" w:w="80"/>
            </w:tcMar>
          </w:tcPr>
          <w:p>
            <w:pPr>
              <w:spacing w:after="40" w:before="40"/>
            </w:pPr>
            <w:r>
              <w:rPr>
                <w:rFonts w:ascii="Calibri" w:cs="Calibri" w:eastAsia="Calibri" w:hAnsi="Calibri"/>
                <w:b/>
                <w:bCs/>
                <w:color w:val="154360"/>
                <w:sz w:val="20"/>
                <w:szCs w:val="20"/>
              </w:rPr>
              <w:t xml:space="preserve">Founded</w:t>
            </w:r>
          </w:p>
        </w:tc>
        <w:tc>
          <w:tcPr>
            <w:tcW w:type="dxa" w:w="6960"/>
            <w:tcBorders>
              <w:top w:val="single" w:color="BDC3C7" w:sz="4"/>
              <w:left w:val="single" w:color="BDC3C7" w:sz="4"/>
              <w:bottom w:val="single" w:color="BDC3C7" w:sz="4"/>
              <w:right w:val="single" w:color="BDC3C7" w:sz="4"/>
            </w:tcBorders>
            <w:shd w:fill="F2F3F4" w:val="clear"/>
            <w:tcMar>
              <w:top w:type="dxa" w:w="80"/>
              <w:left w:type="dxa" w:w="120"/>
              <w:bottom w:type="dxa" w:w="80"/>
              <w:right w:type="dxa" w:w="80"/>
            </w:tcMar>
          </w:tcPr>
          <w:p>
            <w:pPr>
              <w:spacing w:after="40" w:before="40"/>
            </w:pPr>
            <w:r>
              <w:rPr>
                <w:rFonts w:ascii="Calibri" w:cs="Calibri" w:eastAsia="Calibri" w:hAnsi="Calibri"/>
                <w:sz w:val="20"/>
                <w:szCs w:val="20"/>
              </w:rPr>
              <w:t xml:space="preserve">2010 (estimated)</w:t>
            </w:r>
          </w:p>
        </w:tc>
      </w:tr>
      <w:tr>
        <w:tc>
          <w:tcPr>
            <w:tcW w:type="dxa" w:w="2400"/>
            <w:tcBorders>
              <w:top w:val="single" w:color="BDC3C7" w:sz="4"/>
              <w:left w:val="single" w:color="BDC3C7" w:sz="4"/>
              <w:bottom w:val="single" w:color="BDC3C7" w:sz="4"/>
              <w:right w:val="single" w:color="BDC3C7" w:sz="4"/>
            </w:tcBorders>
            <w:shd w:fill="D6EAF8" w:val="clear"/>
            <w:tcMar>
              <w:top w:type="dxa" w:w="80"/>
              <w:left w:type="dxa" w:w="120"/>
              <w:bottom w:type="dxa" w:w="80"/>
              <w:right w:type="dxa" w:w="80"/>
            </w:tcMar>
          </w:tcPr>
          <w:p>
            <w:pPr>
              <w:spacing w:after="40" w:before="40"/>
            </w:pPr>
            <w:r>
              <w:rPr>
                <w:rFonts w:ascii="Calibri" w:cs="Calibri" w:eastAsia="Calibri" w:hAnsi="Calibri"/>
                <w:b/>
                <w:bCs/>
                <w:color w:val="154360"/>
                <w:sz w:val="20"/>
                <w:szCs w:val="20"/>
              </w:rPr>
              <w:t xml:space="preserve">Est. Clients</w:t>
            </w:r>
          </w:p>
        </w:tc>
        <w:tc>
          <w:tcPr>
            <w:tcW w:type="dxa" w:w="69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80"/>
            </w:tcMar>
          </w:tcPr>
          <w:p>
            <w:pPr>
              <w:spacing w:after="40" w:before="40"/>
            </w:pPr>
            <w:r>
              <w:rPr>
                <w:rFonts w:ascii="Calibri" w:cs="Calibri" w:eastAsia="Calibri" w:hAnsi="Calibri"/>
                <w:sz w:val="20"/>
                <w:szCs w:val="20"/>
              </w:rPr>
              <w:t xml:space="preserve">2,000+</w:t>
            </w:r>
          </w:p>
        </w:tc>
      </w:tr>
      <w:tr>
        <w:tc>
          <w:tcPr>
            <w:tcW w:type="dxa" w:w="2400"/>
            <w:tcBorders>
              <w:top w:val="single" w:color="BDC3C7" w:sz="4"/>
              <w:left w:val="single" w:color="BDC3C7" w:sz="4"/>
              <w:bottom w:val="single" w:color="BDC3C7" w:sz="4"/>
              <w:right w:val="single" w:color="BDC3C7" w:sz="4"/>
            </w:tcBorders>
            <w:shd w:fill="D6EAF8" w:val="clear"/>
            <w:tcMar>
              <w:top w:type="dxa" w:w="80"/>
              <w:left w:type="dxa" w:w="120"/>
              <w:bottom w:type="dxa" w:w="80"/>
              <w:right w:type="dxa" w:w="80"/>
            </w:tcMar>
          </w:tcPr>
          <w:p>
            <w:pPr>
              <w:spacing w:after="40" w:before="40"/>
            </w:pPr>
            <w:r>
              <w:rPr>
                <w:rFonts w:ascii="Calibri" w:cs="Calibri" w:eastAsia="Calibri" w:hAnsi="Calibri"/>
                <w:b/>
                <w:bCs/>
                <w:color w:val="154360"/>
                <w:sz w:val="20"/>
                <w:szCs w:val="20"/>
              </w:rPr>
              <w:t xml:space="preserve">Geography</w:t>
            </w:r>
          </w:p>
        </w:tc>
        <w:tc>
          <w:tcPr>
            <w:tcW w:type="dxa" w:w="6960"/>
            <w:tcBorders>
              <w:top w:val="single" w:color="BDC3C7" w:sz="4"/>
              <w:left w:val="single" w:color="BDC3C7" w:sz="4"/>
              <w:bottom w:val="single" w:color="BDC3C7" w:sz="4"/>
              <w:right w:val="single" w:color="BDC3C7" w:sz="4"/>
            </w:tcBorders>
            <w:shd w:fill="F2F3F4" w:val="clear"/>
            <w:tcMar>
              <w:top w:type="dxa" w:w="80"/>
              <w:left w:type="dxa" w:w="120"/>
              <w:bottom w:type="dxa" w:w="80"/>
              <w:right w:type="dxa" w:w="80"/>
            </w:tcMar>
          </w:tcPr>
          <w:p>
            <w:pPr>
              <w:spacing w:after="40" w:before="40"/>
            </w:pPr>
            <w:r>
              <w:rPr>
                <w:rFonts w:ascii="Calibri" w:cs="Calibri" w:eastAsia="Calibri" w:hAnsi="Calibri"/>
                <w:sz w:val="20"/>
                <w:szCs w:val="20"/>
              </w:rPr>
              <w:t xml:space="preserve">USA, Canada</w:t>
            </w:r>
          </w:p>
        </w:tc>
      </w:tr>
      <w:tr>
        <w:tc>
          <w:tcPr>
            <w:tcW w:type="dxa" w:w="2400"/>
            <w:tcBorders>
              <w:top w:val="single" w:color="BDC3C7" w:sz="4"/>
              <w:left w:val="single" w:color="BDC3C7" w:sz="4"/>
              <w:bottom w:val="single" w:color="BDC3C7" w:sz="4"/>
              <w:right w:val="single" w:color="BDC3C7" w:sz="4"/>
            </w:tcBorders>
            <w:shd w:fill="D6EAF8" w:val="clear"/>
            <w:tcMar>
              <w:top w:type="dxa" w:w="80"/>
              <w:left w:type="dxa" w:w="120"/>
              <w:bottom w:type="dxa" w:w="80"/>
              <w:right w:type="dxa" w:w="80"/>
            </w:tcMar>
          </w:tcPr>
          <w:p>
            <w:pPr>
              <w:spacing w:after="40" w:before="40"/>
            </w:pPr>
            <w:r>
              <w:rPr>
                <w:rFonts w:ascii="Calibri" w:cs="Calibri" w:eastAsia="Calibri" w:hAnsi="Calibri"/>
                <w:b/>
                <w:bCs/>
                <w:color w:val="154360"/>
                <w:sz w:val="20"/>
                <w:szCs w:val="20"/>
              </w:rPr>
              <w:t xml:space="preserve">Primary Audience</w:t>
            </w:r>
          </w:p>
        </w:tc>
        <w:tc>
          <w:tcPr>
            <w:tcW w:type="dxa" w:w="69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80"/>
            </w:tcMar>
          </w:tcPr>
          <w:p>
            <w:pPr>
              <w:spacing w:after="40" w:before="40"/>
            </w:pPr>
            <w:r>
              <w:rPr>
                <w:rFonts w:ascii="Calibri" w:cs="Calibri" w:eastAsia="Calibri" w:hAnsi="Calibri"/>
                <w:sz w:val="20"/>
                <w:szCs w:val="20"/>
              </w:rPr>
              <w:t xml:space="preserve">Dental practices seeking PPC and SEO expertise, especially for high-value treatments</w:t>
            </w:r>
          </w:p>
        </w:tc>
      </w:tr>
      <w:tr>
        <w:tc>
          <w:tcPr>
            <w:tcW w:type="dxa" w:w="2400"/>
            <w:tcBorders>
              <w:top w:val="single" w:color="BDC3C7" w:sz="4"/>
              <w:left w:val="single" w:color="BDC3C7" w:sz="4"/>
              <w:bottom w:val="single" w:color="BDC3C7" w:sz="4"/>
              <w:right w:val="single" w:color="BDC3C7" w:sz="4"/>
            </w:tcBorders>
            <w:shd w:fill="D6EAF8" w:val="clear"/>
            <w:tcMar>
              <w:top w:type="dxa" w:w="80"/>
              <w:left w:type="dxa" w:w="120"/>
              <w:bottom w:type="dxa" w:w="80"/>
              <w:right w:type="dxa" w:w="80"/>
            </w:tcMar>
          </w:tcPr>
          <w:p>
            <w:pPr>
              <w:spacing w:after="40" w:before="40"/>
            </w:pPr>
            <w:r>
              <w:rPr>
                <w:rFonts w:ascii="Calibri" w:cs="Calibri" w:eastAsia="Calibri" w:hAnsi="Calibri"/>
                <w:b/>
                <w:bCs/>
                <w:color w:val="154360"/>
                <w:sz w:val="20"/>
                <w:szCs w:val="20"/>
              </w:rPr>
              <w:t xml:space="preserve">Threat to Ekwa</w:t>
            </w:r>
          </w:p>
        </w:tc>
        <w:tc>
          <w:tcPr>
            <w:tcW w:type="dxa" w:w="6960"/>
            <w:tcBorders>
              <w:top w:val="single" w:color="BDC3C7" w:sz="4"/>
              <w:left w:val="single" w:color="BDC3C7" w:sz="4"/>
              <w:bottom w:val="single" w:color="BDC3C7" w:sz="4"/>
              <w:right w:val="single" w:color="BDC3C7" w:sz="4"/>
            </w:tcBorders>
            <w:shd w:fill="F2F3F4" w:val="clear"/>
            <w:tcMar>
              <w:top w:type="dxa" w:w="80"/>
              <w:left w:type="dxa" w:w="120"/>
              <w:bottom w:type="dxa" w:w="80"/>
              <w:right w:type="dxa" w:w="80"/>
            </w:tcMar>
          </w:tcPr>
          <w:p>
            <w:pPr>
              <w:spacing w:after="40" w:before="40"/>
            </w:pPr>
            <w:r>
              <w:rPr>
                <w:rFonts w:ascii="Calibri" w:cs="Calibri" w:eastAsia="Calibri" w:hAnsi="Calibri"/>
                <w:sz w:val="20"/>
                <w:szCs w:val="20"/>
              </w:rPr>
              <w:t xml:space="preserve">MEDIUM</w:t>
            </w:r>
          </w:p>
        </w:tc>
      </w:tr>
    </w:tbl>
    <w:p>
      <w:pPr>
        <w:spacing w:after="120" w:before="240"/>
      </w:pPr>
    </w:p>
    <w:p>
      <w:pPr>
        <w:pStyle w:val="Heading2"/>
        <w:spacing w:after="140" w:before="280"/>
      </w:pPr>
      <w:r>
        <w:rPr>
          <w:rFonts w:ascii="Calibri" w:cs="Calibri" w:eastAsia="Calibri" w:hAnsi="Calibri"/>
          <w:b/>
          <w:bCs/>
          <w:color w:val="1B4F72"/>
          <w:sz w:val="28"/>
          <w:szCs w:val="28"/>
        </w:rPr>
        <w:t xml:space="preserve">1. Core Value Proposition</w:t>
      </w:r>
    </w:p>
    <w:p>
      <w:pPr>
        <w:pStyle w:val="Heading3"/>
        <w:spacing w:after="140" w:before="280"/>
      </w:pPr>
      <w:r>
        <w:rPr>
          <w:rFonts w:ascii="Calibri" w:cs="Calibri" w:eastAsia="Calibri" w:hAnsi="Calibri"/>
          <w:b/>
          <w:bCs/>
          <w:color w:val="2C3E50"/>
          <w:sz w:val="24"/>
          <w:szCs w:val="24"/>
        </w:rPr>
        <w:t xml:space="preserve">Promise</w:t>
      </w:r>
    </w:p>
    <w:p>
      <w:pPr>
        <w:spacing w:after="100" w:before="60"/>
      </w:pPr>
      <w:r>
        <w:rPr>
          <w:rFonts w:ascii="Calibri" w:cs="Calibri" w:eastAsia="Calibri" w:hAnsi="Calibri"/>
          <w:sz w:val="22"/>
          <w:szCs w:val="22"/>
        </w:rPr>
        <w:t xml:space="preserve">Generate high-quality new patient leads through data-backed PPC and SEO, leveraging 155,000+ tested ads and $60M+ in managed ad spend to drive the lowest cost per lead.</w:t>
      </w:r>
    </w:p>
    <w:p>
      <w:pPr>
        <w:pStyle w:val="Heading3"/>
        <w:spacing w:after="140" w:before="280"/>
      </w:pPr>
      <w:r>
        <w:rPr>
          <w:rFonts w:ascii="Calibri" w:cs="Calibri" w:eastAsia="Calibri" w:hAnsi="Calibri"/>
          <w:b/>
          <w:bCs/>
          <w:color w:val="2C3E50"/>
          <w:sz w:val="24"/>
          <w:szCs w:val="24"/>
        </w:rPr>
        <w:t xml:space="preserve">Evidence / Proof Points</w:t>
      </w:r>
    </w:p>
    <w:p>
      <w:pPr>
        <w:spacing w:after="100" w:before="60"/>
      </w:pPr>
      <w:r>
        <w:rPr>
          <w:rFonts w:ascii="Calibri" w:cs="Calibri" w:eastAsia="Calibri" w:hAnsi="Calibri"/>
          <w:sz w:val="22"/>
          <w:szCs w:val="22"/>
        </w:rPr>
        <w:t xml:space="preserve">$60M+ managed ad spend; 155,000+ ads tested; 2,000+ clients; specialized implant/high-value case marketing expertise.</w:t>
      </w:r>
    </w:p>
    <w:p>
      <w:pPr>
        <w:pStyle w:val="Heading3"/>
        <w:spacing w:after="140" w:before="280"/>
      </w:pPr>
      <w:r>
        <w:rPr>
          <w:rFonts w:ascii="Calibri" w:cs="Calibri" w:eastAsia="Calibri" w:hAnsi="Calibri"/>
          <w:b/>
          <w:bCs/>
          <w:color w:val="2C3E50"/>
          <w:sz w:val="24"/>
          <w:szCs w:val="24"/>
        </w:rPr>
        <w:t xml:space="preserve">Mechanism (How It Works)</w:t>
      </w:r>
    </w:p>
    <w:p>
      <w:pPr>
        <w:spacing w:after="100" w:before="60"/>
      </w:pPr>
      <w:r>
        <w:rPr>
          <w:rFonts w:ascii="Calibri" w:cs="Calibri" w:eastAsia="Calibri" w:hAnsi="Calibri"/>
          <w:sz w:val="22"/>
          <w:szCs w:val="22"/>
        </w:rPr>
        <w:t xml:space="preserve">Performance marketing engine: proven ad templates and copy from 155k+ tests → targeted SEO for specific dental treatments → conversion-optimized landing pages → lead tracking and reporting.</w:t>
      </w:r>
    </w:p>
    <w:p>
      <w:pPr>
        <w:pStyle w:val="Heading3"/>
        <w:spacing w:after="140" w:before="280"/>
      </w:pPr>
      <w:r>
        <w:rPr>
          <w:rFonts w:ascii="Calibri" w:cs="Calibri" w:eastAsia="Calibri" w:hAnsi="Calibri"/>
          <w:b/>
          <w:bCs/>
          <w:color w:val="2C3E50"/>
          <w:sz w:val="24"/>
          <w:szCs w:val="24"/>
        </w:rPr>
        <w:t xml:space="preserve">Uniqueness Claim</w:t>
      </w:r>
    </w:p>
    <w:p>
      <w:pPr>
        <w:spacing w:after="100" w:before="60"/>
      </w:pPr>
      <w:r>
        <w:rPr>
          <w:rFonts w:ascii="Calibri" w:cs="Calibri" w:eastAsia="Calibri" w:hAnsi="Calibri"/>
          <w:sz w:val="22"/>
          <w:szCs w:val="22"/>
        </w:rPr>
        <w:t xml:space="preserve">Claims the largest dental marketing performance data set in the industry; specialization in implant marketing and high-value case acquisition (full-arch, All-On-4).</w:t>
      </w:r>
    </w:p>
    <w:p>
      <w:r>
        <w:br w:type="page"/>
      </w:r>
    </w:p>
    <w:p>
      <w:pPr>
        <w:pStyle w:val="Heading2"/>
        <w:spacing w:after="140" w:before="280"/>
      </w:pPr>
      <w:r>
        <w:rPr>
          <w:rFonts w:ascii="Calibri" w:cs="Calibri" w:eastAsia="Calibri" w:hAnsi="Calibri"/>
          <w:b/>
          <w:bCs/>
          <w:color w:val="1B4F72"/>
          <w:sz w:val="28"/>
          <w:szCs w:val="28"/>
        </w:rPr>
        <w:t xml:space="preserve">2. Estimated Cost Structure &amp; Margins</w:t>
      </w:r>
    </w:p>
    <w:p>
      <w:pPr>
        <w:pStyle w:val="Heading3"/>
        <w:spacing w:after="140" w:before="280"/>
      </w:pPr>
      <w:r>
        <w:rPr>
          <w:rFonts w:ascii="Calibri" w:cs="Calibri" w:eastAsia="Calibri" w:hAnsi="Calibri"/>
          <w:b/>
          <w:bCs/>
          <w:color w:val="2C3E50"/>
          <w:sz w:val="24"/>
          <w:szCs w:val="24"/>
        </w:rPr>
        <w:t xml:space="preserve">Pricing Model</w:t>
      </w:r>
    </w:p>
    <w:p>
      <w:pPr>
        <w:spacing w:after="100" w:before="60"/>
      </w:pPr>
      <w:r>
        <w:rPr>
          <w:rFonts w:ascii="Calibri" w:cs="Calibri" w:eastAsia="Calibri" w:hAnsi="Calibri"/>
          <w:sz w:val="22"/>
          <w:szCs w:val="22"/>
        </w:rPr>
        <w:t xml:space="preserve">Estimated $1,000–$4,000/month for combined PPC+SEO. Custom based on ad spend volume. Implant marketing packages command premium pricing. Ad spend is client-paid on top of agency fees.</w:t>
      </w:r>
    </w:p>
    <w:p>
      <w:pPr>
        <w:pStyle w:val="Heading3"/>
        <w:spacing w:after="140" w:before="280"/>
      </w:pPr>
      <w:r>
        <w:rPr>
          <w:rFonts w:ascii="Calibri" w:cs="Calibri" w:eastAsia="Calibri" w:hAnsi="Calibri"/>
          <w:b/>
          <w:bCs/>
          <w:color w:val="2C3E50"/>
          <w:sz w:val="24"/>
          <w:szCs w:val="24"/>
        </w:rPr>
        <w:t xml:space="preserve">Revenue Model</w:t>
      </w:r>
    </w:p>
    <w:p>
      <w:pPr>
        <w:spacing w:after="100" w:before="60"/>
      </w:pPr>
      <w:r>
        <w:rPr>
          <w:rFonts w:ascii="Calibri" w:cs="Calibri" w:eastAsia="Calibri" w:hAnsi="Calibri"/>
          <w:sz w:val="22"/>
          <w:szCs w:val="22"/>
        </w:rPr>
        <w:t xml:space="preserve">Monthly management fee + percentage of ad spend (estimated 10–15%).</w:t>
      </w:r>
    </w:p>
    <w:p>
      <w:pPr>
        <w:pStyle w:val="Heading3"/>
        <w:spacing w:after="140" w:before="280"/>
      </w:pPr>
      <w:r>
        <w:rPr>
          <w:rFonts w:ascii="Calibri" w:cs="Calibri" w:eastAsia="Calibri" w:hAnsi="Calibri"/>
          <w:b/>
          <w:bCs/>
          <w:color w:val="2C3E50"/>
          <w:sz w:val="24"/>
          <w:szCs w:val="24"/>
        </w:rPr>
        <w:t xml:space="preserve">Estimated Gross Margin</w:t>
      </w:r>
    </w:p>
    <w:p>
      <w:pPr>
        <w:spacing w:after="100" w:before="60"/>
      </w:pPr>
      <w:r>
        <w:rPr>
          <w:rFonts w:ascii="Calibri" w:cs="Calibri" w:eastAsia="Calibri" w:hAnsi="Calibri"/>
          <w:sz w:val="22"/>
          <w:szCs w:val="22"/>
        </w:rPr>
        <w:t xml:space="preserve">45–55%. Volume-driven agency economics — margins improve with scale.</w:t>
      </w:r>
    </w:p>
    <w:p>
      <w:pPr>
        <w:pStyle w:val="Heading3"/>
        <w:spacing w:after="140" w:before="280"/>
      </w:pPr>
      <w:r>
        <w:rPr>
          <w:rFonts w:ascii="Calibri" w:cs="Calibri" w:eastAsia="Calibri" w:hAnsi="Calibri"/>
          <w:b/>
          <w:bCs/>
          <w:color w:val="2C3E50"/>
          <w:sz w:val="24"/>
          <w:szCs w:val="24"/>
        </w:rPr>
        <w:t xml:space="preserve">Funding / Business Status</w:t>
      </w:r>
    </w:p>
    <w:p>
      <w:pPr>
        <w:spacing w:after="100" w:before="60"/>
      </w:pPr>
      <w:r>
        <w:rPr>
          <w:rFonts w:ascii="Calibri" w:cs="Calibri" w:eastAsia="Calibri" w:hAnsi="Calibri"/>
          <w:sz w:val="22"/>
          <w:szCs w:val="22"/>
        </w:rPr>
        <w:t xml:space="preserve">Privately owned, established business.</w:t>
      </w:r>
    </w:p>
    <w:p>
      <w:pPr>
        <w:pStyle w:val="Heading3"/>
        <w:spacing w:after="140" w:before="280"/>
      </w:pPr>
      <w:r>
        <w:rPr>
          <w:rFonts w:ascii="Calibri" w:cs="Calibri" w:eastAsia="Calibri" w:hAnsi="Calibri"/>
          <w:b/>
          <w:bCs/>
          <w:color w:val="2C3E50"/>
          <w:sz w:val="24"/>
          <w:szCs w:val="24"/>
        </w:rPr>
        <w:t xml:space="preserve">Primary Margin Driver</w:t>
      </w:r>
    </w:p>
    <w:p>
      <w:pPr>
        <w:spacing w:after="100" w:before="60"/>
      </w:pPr>
      <w:r>
        <w:rPr>
          <w:rFonts w:ascii="Calibri" w:cs="Calibri" w:eastAsia="Calibri" w:hAnsi="Calibri"/>
          <w:sz w:val="22"/>
          <w:szCs w:val="22"/>
        </w:rPr>
        <w:t xml:space="preserve">Proven ad templates reduce creative time per client; implant specialization commands premium fees; volume of 2,000+ clients reduces per-client sales and onboarding costs.</w:t>
      </w:r>
    </w:p>
    <w:p>
      <w:r>
        <w:br w:type="page"/>
      </w:r>
    </w:p>
    <w:p>
      <w:pPr>
        <w:pStyle w:val="Heading2"/>
        <w:spacing w:after="140" w:before="280"/>
      </w:pPr>
      <w:r>
        <w:rPr>
          <w:rFonts w:ascii="Calibri" w:cs="Calibri" w:eastAsia="Calibri" w:hAnsi="Calibri"/>
          <w:b/>
          <w:bCs/>
          <w:color w:val="1B4F72"/>
          <w:sz w:val="28"/>
          <w:szCs w:val="28"/>
        </w:rPr>
        <w:t xml:space="preserve">3. Go-to-Market Strategy</w:t>
      </w:r>
    </w:p>
    <w:p>
      <w:pPr>
        <w:pStyle w:val="Heading3"/>
        <w:spacing w:after="140" w:before="280"/>
      </w:pPr>
      <w:r>
        <w:rPr>
          <w:rFonts w:ascii="Calibri" w:cs="Calibri" w:eastAsia="Calibri" w:hAnsi="Calibri"/>
          <w:b/>
          <w:bCs/>
          <w:color w:val="2C3E50"/>
          <w:sz w:val="24"/>
          <w:szCs w:val="24"/>
        </w:rPr>
        <w:t xml:space="preserve">Overall Strategy</w:t>
      </w:r>
    </w:p>
    <w:p>
      <w:pPr>
        <w:spacing w:after="100" w:before="60"/>
      </w:pPr>
      <w:r>
        <w:rPr>
          <w:rFonts w:ascii="Calibri" w:cs="Calibri" w:eastAsia="Calibri" w:hAnsi="Calibri"/>
          <w:sz w:val="22"/>
          <w:szCs w:val="22"/>
        </w:rPr>
        <w:t xml:space="preserve">Content marketing targeting dentists searching for dental marketing information. Niche positioning around implant and high-value treatment marketing. Podcast and YouTube educational content about dental PPC/SEO.</w:t>
      </w:r>
    </w:p>
    <w:p>
      <w:pPr>
        <w:pStyle w:val="Heading3"/>
        <w:spacing w:after="140" w:before="280"/>
      </w:pPr>
      <w:r>
        <w:rPr>
          <w:rFonts w:ascii="Calibri" w:cs="Calibri" w:eastAsia="Calibri" w:hAnsi="Calibri"/>
          <w:b/>
          <w:bCs/>
          <w:color w:val="2C3E50"/>
          <w:sz w:val="24"/>
          <w:szCs w:val="24"/>
        </w:rPr>
        <w:t xml:space="preserve">Sales Motion</w:t>
      </w:r>
    </w:p>
    <w:p>
      <w:pPr>
        <w:spacing w:after="100" w:before="60"/>
      </w:pPr>
      <w:r>
        <w:rPr>
          <w:rFonts w:ascii="Calibri" w:cs="Calibri" w:eastAsia="Calibri" w:hAnsi="Calibri"/>
          <w:sz w:val="22"/>
          <w:szCs w:val="22"/>
        </w:rPr>
        <w:t xml:space="preserve">Inbound from search and content. Outbound to implant-focused practices. Performance track record is primary sales tool.</w:t>
      </w:r>
    </w:p>
    <w:p>
      <w:pPr>
        <w:pStyle w:val="Heading3"/>
        <w:spacing w:after="140" w:before="280"/>
      </w:pPr>
      <w:r>
        <w:rPr>
          <w:rFonts w:ascii="Calibri" w:cs="Calibri" w:eastAsia="Calibri" w:hAnsi="Calibri"/>
          <w:b/>
          <w:bCs/>
          <w:color w:val="2C3E50"/>
          <w:sz w:val="24"/>
          <w:szCs w:val="24"/>
        </w:rPr>
        <w:t xml:space="preserve">Key Channels</w:t>
      </w:r>
    </w:p>
    <w:p>
      <w:pPr>
        <w:spacing w:after="100" w:before="60"/>
      </w:pPr>
      <w:r>
        <w:rPr>
          <w:rFonts w:ascii="Calibri" w:cs="Calibri" w:eastAsia="Calibri" w:hAnsi="Calibri"/>
          <w:sz w:val="22"/>
          <w:szCs w:val="22"/>
        </w:rPr>
        <w:t xml:space="preserve">Organic search (SEO meta-strategy: ranking for dental marketing keywords to attract clients), YouTube educational content, dental implant conference presence, referrals from dental implant specialists.</w:t>
      </w:r>
    </w:p>
    <w:p>
      <w:pPr>
        <w:pStyle w:val="Heading3"/>
        <w:spacing w:after="140" w:before="280"/>
      </w:pPr>
      <w:r>
        <w:rPr>
          <w:rFonts w:ascii="Calibri" w:cs="Calibri" w:eastAsia="Calibri" w:hAnsi="Calibri"/>
          <w:b/>
          <w:bCs/>
          <w:color w:val="2C3E50"/>
          <w:sz w:val="24"/>
          <w:szCs w:val="24"/>
        </w:rPr>
        <w:t xml:space="preserve">Primary Content Themes</w:t>
      </w:r>
    </w:p>
    <w:p>
      <w:pPr>
        <w:spacing w:after="100" w:before="60"/>
      </w:pPr>
      <w:r>
        <w:rPr>
          <w:rFonts w:ascii="Calibri" w:cs="Calibri" w:eastAsia="Calibri" w:hAnsi="Calibri"/>
          <w:sz w:val="22"/>
          <w:szCs w:val="22"/>
        </w:rPr>
        <w:t xml:space="preserve">Dental PPC, dental SEO, implant marketing, high-value patient acquisition, marketing ROI for dental practices.</w:t>
      </w:r>
    </w:p>
    <w:p>
      <w:r>
        <w:br w:type="page"/>
      </w:r>
    </w:p>
    <w:p>
      <w:pPr>
        <w:pStyle w:val="Heading2"/>
        <w:spacing w:after="140" w:before="280"/>
      </w:pPr>
      <w:r>
        <w:rPr>
          <w:rFonts w:ascii="Calibri" w:cs="Calibri" w:eastAsia="Calibri" w:hAnsi="Calibri"/>
          <w:b/>
          <w:bCs/>
          <w:color w:val="1B4F72"/>
          <w:sz w:val="28"/>
          <w:szCs w:val="28"/>
        </w:rPr>
        <w:t xml:space="preserve">4. Technological / Operational Moats</w:t>
      </w:r>
    </w:p>
    <w:p>
      <w:pPr>
        <w:pStyle w:val="Heading3"/>
        <w:spacing w:after="140" w:before="280"/>
      </w:pPr>
      <w:r>
        <w:rPr>
          <w:rFonts w:ascii="Calibri" w:cs="Calibri" w:eastAsia="Calibri" w:hAnsi="Calibri"/>
          <w:b/>
          <w:bCs/>
          <w:color w:val="2C3E50"/>
          <w:sz w:val="24"/>
          <w:szCs w:val="24"/>
        </w:rPr>
        <w:t xml:space="preserve">Technology Moat</w:t>
      </w:r>
    </w:p>
    <w:p>
      <w:pPr>
        <w:spacing w:after="100" w:before="60"/>
      </w:pPr>
      <w:r>
        <w:rPr>
          <w:rFonts w:ascii="Calibri" w:cs="Calibri" w:eastAsia="Calibri" w:hAnsi="Calibri"/>
          <w:sz w:val="22"/>
          <w:szCs w:val="22"/>
        </w:rPr>
        <w:t xml:space="preserve">Proprietary ad performance database (155k+ tested ads); conversion-optimized landing page templates; implant marketing expertise.</w:t>
      </w:r>
    </w:p>
    <w:p>
      <w:pPr>
        <w:pStyle w:val="Heading3"/>
        <w:spacing w:after="140" w:before="280"/>
      </w:pPr>
      <w:r>
        <w:rPr>
          <w:rFonts w:ascii="Calibri" w:cs="Calibri" w:eastAsia="Calibri" w:hAnsi="Calibri"/>
          <w:b/>
          <w:bCs/>
          <w:color w:val="2C3E50"/>
          <w:sz w:val="24"/>
          <w:szCs w:val="24"/>
        </w:rPr>
        <w:t xml:space="preserve">Operational Moat</w:t>
      </w:r>
    </w:p>
    <w:p>
      <w:pPr>
        <w:spacing w:after="100" w:before="60"/>
      </w:pPr>
      <w:r>
        <w:rPr>
          <w:rFonts w:ascii="Calibri" w:cs="Calibri" w:eastAsia="Calibri" w:hAnsi="Calibri"/>
          <w:sz w:val="22"/>
          <w:szCs w:val="22"/>
        </w:rPr>
        <w:t xml:space="preserve">Volume of clients (2,000+) allows continuous A/B testing at scale; implant specialization creates niche authority.</w:t>
      </w:r>
    </w:p>
    <w:p>
      <w:pPr>
        <w:pStyle w:val="Heading3"/>
        <w:spacing w:after="140" w:before="280"/>
      </w:pPr>
      <w:r>
        <w:rPr>
          <w:rFonts w:ascii="Calibri" w:cs="Calibri" w:eastAsia="Calibri" w:hAnsi="Calibri"/>
          <w:b/>
          <w:bCs/>
          <w:color w:val="2C3E50"/>
          <w:sz w:val="24"/>
          <w:szCs w:val="24"/>
        </w:rPr>
        <w:t xml:space="preserve">Data Moat</w:t>
      </w:r>
    </w:p>
    <w:p>
      <w:pPr>
        <w:spacing w:after="100" w:before="60"/>
      </w:pPr>
      <w:r>
        <w:rPr>
          <w:rFonts w:ascii="Calibri" w:cs="Calibri" w:eastAsia="Calibri" w:hAnsi="Calibri"/>
          <w:sz w:val="22"/>
          <w:szCs w:val="22"/>
        </w:rPr>
        <w:t xml:space="preserve">155,000+ tested ads is significant performance data moat for ad optimization.</w:t>
      </w:r>
    </w:p>
    <w:p>
      <w:pPr>
        <w:pStyle w:val="Heading3"/>
        <w:spacing w:after="140" w:before="280"/>
      </w:pPr>
      <w:r>
        <w:rPr>
          <w:rFonts w:ascii="Calibri" w:cs="Calibri" w:eastAsia="Calibri" w:hAnsi="Calibri"/>
          <w:b/>
          <w:bCs/>
          <w:color w:val="2C3E50"/>
          <w:sz w:val="24"/>
          <w:szCs w:val="24"/>
        </w:rPr>
        <w:t xml:space="preserve">Switching Costs</w:t>
      </w:r>
    </w:p>
    <w:p>
      <w:pPr>
        <w:spacing w:after="100" w:before="60"/>
      </w:pPr>
      <w:r>
        <w:rPr>
          <w:rFonts w:ascii="Calibri" w:cs="Calibri" w:eastAsia="Calibri" w:hAnsi="Calibri"/>
          <w:sz w:val="22"/>
          <w:szCs w:val="22"/>
        </w:rPr>
        <w:t xml:space="preserve">Performance marketing clients are results-dependent — if results are good, low switching motivation. If results decline, clients switch easily (low lock-in).</w:t>
      </w:r>
    </w:p>
    <w:p>
      <w:r>
        <w:br w:type="page"/>
      </w:r>
    </w:p>
    <w:p>
      <w:pPr>
        <w:pStyle w:val="Heading2"/>
        <w:spacing w:after="140" w:before="280"/>
      </w:pPr>
      <w:r>
        <w:rPr>
          <w:rFonts w:ascii="Calibri" w:cs="Calibri" w:eastAsia="Calibri" w:hAnsi="Calibri"/>
          <w:b/>
          <w:bCs/>
          <w:color w:val="1B4F72"/>
          <w:sz w:val="28"/>
          <w:szCs w:val="28"/>
        </w:rPr>
        <w:t xml:space="preserve">5. Key Vulnerabilities</w:t>
      </w:r>
    </w:p>
    <w:p>
      <w:pPr>
        <w:pStyle w:val="Heading3"/>
        <w:spacing w:after="140" w:before="280"/>
      </w:pPr>
      <w:r>
        <w:rPr>
          <w:rFonts w:ascii="Calibri" w:cs="Calibri" w:eastAsia="Calibri" w:hAnsi="Calibri"/>
          <w:b/>
          <w:bCs/>
          <w:color w:val="C0392B"/>
          <w:sz w:val="24"/>
          <w:szCs w:val="24"/>
        </w:rPr>
        <w:t xml:space="preserve">Primary Vulnerability</w:t>
      </w:r>
    </w:p>
    <w:p>
      <w:pPr>
        <w:spacing w:after="100" w:before="60"/>
      </w:pPr>
      <w:r>
        <w:rPr>
          <w:rFonts w:ascii="Calibri" w:cs="Calibri" w:eastAsia="Calibri" w:hAnsi="Calibri"/>
          <w:color w:val="C0392B"/>
          <w:sz w:val="22"/>
          <w:szCs w:val="22"/>
        </w:rPr>
        <w:t xml:space="preserve">Generic 'digital marketing for dentists' positioning despite scale. No exclusivity per market — they will manage two competing implant practices in the same neighborhood.</w:t>
      </w:r>
    </w:p>
    <w:p>
      <w:pPr>
        <w:pStyle w:val="Heading3"/>
        <w:spacing w:after="140" w:before="280"/>
      </w:pPr>
      <w:r>
        <w:rPr>
          <w:rFonts w:ascii="Calibri" w:cs="Calibri" w:eastAsia="Calibri" w:hAnsi="Calibri"/>
          <w:b/>
          <w:bCs/>
          <w:color w:val="C0392B"/>
          <w:sz w:val="24"/>
          <w:szCs w:val="24"/>
        </w:rPr>
        <w:t xml:space="preserve">Secondary Vulnerability</w:t>
      </w:r>
    </w:p>
    <w:p>
      <w:pPr>
        <w:spacing w:after="100" w:before="60"/>
      </w:pPr>
      <w:r>
        <w:rPr>
          <w:rFonts w:ascii="Calibri" w:cs="Calibri" w:eastAsia="Calibri" w:hAnsi="Calibri"/>
          <w:color w:val="C0392B"/>
          <w:sz w:val="22"/>
          <w:szCs w:val="22"/>
        </w:rPr>
        <w:t xml:space="preserve">PPC-heavy model is expensive for practices (ongoing ad spend) and creates client budget volatility; clients may reduce spend during slow periods.</w:t>
      </w:r>
    </w:p>
    <w:p>
      <w:pPr>
        <w:pStyle w:val="Heading3"/>
        <w:spacing w:after="140" w:before="280"/>
      </w:pPr>
      <w:r>
        <w:rPr>
          <w:rFonts w:ascii="Calibri" w:cs="Calibri" w:eastAsia="Calibri" w:hAnsi="Calibri"/>
          <w:b/>
          <w:bCs/>
          <w:color w:val="C0392B"/>
          <w:sz w:val="24"/>
          <w:szCs w:val="24"/>
        </w:rPr>
        <w:t xml:space="preserve">Tertiary Vulnerability</w:t>
      </w:r>
    </w:p>
    <w:p>
      <w:pPr>
        <w:spacing w:after="100" w:before="60"/>
      </w:pPr>
      <w:r>
        <w:rPr>
          <w:rFonts w:ascii="Calibri" w:cs="Calibri" w:eastAsia="Calibri" w:hAnsi="Calibri"/>
          <w:color w:val="C0392B"/>
          <w:sz w:val="22"/>
          <w:szCs w:val="22"/>
        </w:rPr>
        <w:t xml:space="preserve">Limited branding and reputation management capabilities compared to full-service competitors.</w:t>
      </w:r>
    </w:p>
    <w:p>
      <w:pPr>
        <w:pStyle w:val="Heading3"/>
        <w:spacing w:after="140" w:before="280"/>
      </w:pPr>
      <w:r>
        <w:rPr>
          <w:rFonts w:ascii="Calibri" w:cs="Calibri" w:eastAsia="Calibri" w:hAnsi="Calibri"/>
          <w:b/>
          <w:bCs/>
          <w:color w:val="D4AC0D"/>
          <w:sz w:val="24"/>
          <w:szCs w:val="24"/>
        </w:rPr>
        <w:t xml:space="preserve">Services Gap</w:t>
      </w:r>
    </w:p>
    <w:p>
      <w:pPr>
        <w:spacing w:after="100" w:before="60"/>
      </w:pPr>
      <w:r>
        <w:rPr>
          <w:rFonts w:ascii="Calibri" w:cs="Calibri" w:eastAsia="Calibri" w:hAnsi="Calibri"/>
          <w:color w:val="D4AC0D"/>
          <w:sz w:val="22"/>
          <w:szCs w:val="22"/>
        </w:rPr>
        <w:t xml:space="preserve">Implant focus may alienate general dentistry practices seeking comprehensive marketing partnerships.</w:t>
      </w:r>
    </w:p>
    <w:p>
      <w:pPr>
        <w:pStyle w:val="Heading3"/>
        <w:spacing w:after="140" w:before="280"/>
      </w:pPr>
      <w:r>
        <w:rPr>
          <w:rFonts w:ascii="Calibri" w:cs="Calibri" w:eastAsia="Calibri" w:hAnsi="Calibri"/>
          <w:b/>
          <w:bCs/>
          <w:color w:val="D4AC0D"/>
          <w:sz w:val="24"/>
          <w:szCs w:val="24"/>
        </w:rPr>
        <w:t xml:space="preserve">Reputation Risk</w:t>
      </w:r>
    </w:p>
    <w:p>
      <w:pPr>
        <w:spacing w:after="100" w:before="60"/>
      </w:pPr>
      <w:r>
        <w:rPr>
          <w:rFonts w:ascii="Calibri" w:cs="Calibri" w:eastAsia="Calibri" w:hAnsi="Calibri"/>
          <w:color w:val="D4AC0D"/>
          <w:sz w:val="22"/>
          <w:szCs w:val="22"/>
        </w:rPr>
        <w:t xml:space="preserve">If Google algorithm changes affect their SEO methodology (as happened industry-wide in 2023-2024 core updates), client results can drop significantly.</w:t>
      </w:r>
    </w:p>
    <w:p>
      <w:r>
        <w:br w:type="page"/>
      </w:r>
    </w:p>
    <w:p>
      <w:pPr>
        <w:pStyle w:val="Heading2"/>
        <w:spacing w:after="140" w:before="280"/>
      </w:pPr>
      <w:r>
        <w:rPr>
          <w:rFonts w:ascii="Calibri" w:cs="Calibri" w:eastAsia="Calibri" w:hAnsi="Calibri"/>
          <w:b/>
          <w:bCs/>
          <w:color w:val="1E8449"/>
          <w:sz w:val="28"/>
          <w:szCs w:val="28"/>
        </w:rPr>
        <w:t xml:space="preserve">6. Ekwa Competitive Position &amp; Battlecard</w:t>
      </w:r>
    </w:p>
    <w:p>
      <w:pPr>
        <w:pStyle w:val="Heading3"/>
        <w:spacing w:after="140" w:before="280"/>
      </w:pPr>
      <w:r>
        <w:rPr>
          <w:rFonts w:ascii="Calibri" w:cs="Calibri" w:eastAsia="Calibri" w:hAnsi="Calibri"/>
          <w:b/>
          <w:bCs/>
          <w:color w:val="1E8449"/>
          <w:sz w:val="24"/>
          <w:szCs w:val="24"/>
        </w:rPr>
        <w:t xml:space="preserve">Target Segment to Poach</w:t>
      </w:r>
    </w:p>
    <w:p>
      <w:pPr>
        <w:spacing w:after="100" w:before="60"/>
      </w:pPr>
      <w:r>
        <w:rPr>
          <w:rFonts w:ascii="Calibri" w:cs="Calibri" w:eastAsia="Calibri" w:hAnsi="Calibri"/>
          <w:sz w:val="22"/>
          <w:szCs w:val="22"/>
        </w:rPr>
        <w:t xml:space="preserve">Practices frustrated with volatile ad performance or tired of competing with other Ekwa non-exclusive clients for the same keywords.</w:t>
      </w:r>
    </w:p>
    <w:p>
      <w:pPr>
        <w:pStyle w:val="Heading3"/>
        <w:spacing w:after="140" w:before="280"/>
      </w:pPr>
      <w:r>
        <w:rPr>
          <w:rFonts w:ascii="Calibri" w:cs="Calibri" w:eastAsia="Calibri" w:hAnsi="Calibri"/>
          <w:b/>
          <w:bCs/>
          <w:color w:val="1E8449"/>
          <w:sz w:val="24"/>
          <w:szCs w:val="24"/>
        </w:rPr>
        <w:t xml:space="preserve">Our Key Message</w:t>
      </w:r>
    </w:p>
    <w:p>
      <w:pPr>
        <w:spacing w:after="100" w:before="60"/>
      </w:pPr>
      <w:r>
        <w:rPr>
          <w:rFonts w:ascii="Calibri" w:cs="Calibri" w:eastAsia="Calibri" w:hAnsi="Calibri"/>
          <w:b/>
          <w:bCs/>
          <w:color w:val="1E8449"/>
          <w:sz w:val="22"/>
          <w:szCs w:val="22"/>
        </w:rPr>
        <w:t xml:space="preserve">Build organic authority + exclusive ad positioning = sustainable new patient growth.</w:t>
      </w:r>
    </w:p>
    <w:p>
      <w:pPr>
        <w:pStyle w:val="Heading3"/>
        <w:spacing w:after="140" w:before="280"/>
      </w:pPr>
      <w:r>
        <w:rPr>
          <w:rFonts w:ascii="Calibri" w:cs="Calibri" w:eastAsia="Calibri" w:hAnsi="Calibri"/>
          <w:b/>
          <w:bCs/>
          <w:color w:val="1E8449"/>
          <w:sz w:val="24"/>
          <w:szCs w:val="24"/>
        </w:rPr>
        <w:t xml:space="preserve">Sales Battlecard Pitch</w:t>
      </w:r>
    </w:p>
    <w:p>
      <w:pPr>
        <w:spacing w:after="100" w:before="60"/>
      </w:pPr>
      <w:r>
        <w:rPr>
          <w:rFonts w:ascii="Calibri" w:cs="Calibri" w:eastAsia="Calibri" w:hAnsi="Calibri"/>
          <w:sz w:val="22"/>
          <w:szCs w:val="22"/>
        </w:rPr>
        <w:t xml:space="preserve">Web Marketing for Dentists focuses on paid ads — but paid ads stop the moment you stop paying. Ekwa builds organic authority that compounds over time AND supports paid campaigns. And we'll never show your ads next to your competitor's ads in the same market — because we don't take competing clients.</w:t>
      </w:r>
    </w:p>
    <w:p>
      <w:pPr>
        <w:pStyle w:val="Heading3"/>
        <w:spacing w:after="140" w:before="280"/>
      </w:pPr>
      <w:r>
        <w:rPr>
          <w:rFonts w:ascii="Calibri" w:cs="Calibri" w:eastAsia="Calibri" w:hAnsi="Calibri"/>
          <w:b/>
          <w:bCs/>
          <w:color w:val="1E8449"/>
          <w:sz w:val="24"/>
          <w:szCs w:val="24"/>
        </w:rPr>
        <w:t xml:space="preserve">Proof Points</w:t>
      </w:r>
    </w:p>
    <w:p>
      <w:pPr>
        <w:pStyle w:val="ListParagraph"/>
        <w:numPr>
          <w:ilvl w:val="0"/>
          <w:numId w:val="2"/>
        </w:numPr>
        <w:spacing w:after="80" w:before="60"/>
      </w:pPr>
      <w:r>
        <w:rPr>
          <w:rFonts w:ascii="Calibri" w:cs="Calibri" w:eastAsia="Calibri" w:hAnsi="Calibri"/>
          <w:sz w:val="22"/>
          <w:szCs w:val="22"/>
        </w:rPr>
        <w:t xml:space="preserve">Organic SEO compounds over time vs. paid only</w:t>
      </w:r>
    </w:p>
    <w:p>
      <w:pPr>
        <w:pStyle w:val="ListParagraph"/>
        <w:numPr>
          <w:ilvl w:val="0"/>
          <w:numId w:val="2"/>
        </w:numPr>
        <w:spacing w:after="80" w:before="60"/>
      </w:pPr>
      <w:r>
        <w:rPr>
          <w:rFonts w:ascii="Calibri" w:cs="Calibri" w:eastAsia="Calibri" w:hAnsi="Calibri"/>
          <w:sz w:val="22"/>
          <w:szCs w:val="22"/>
        </w:rPr>
        <w:t xml:space="preserve">Per-market exclusivity means ads don't compete against client campaigns</w:t>
      </w:r>
    </w:p>
    <w:p>
      <w:pPr>
        <w:pStyle w:val="ListParagraph"/>
        <w:numPr>
          <w:ilvl w:val="0"/>
          <w:numId w:val="2"/>
        </w:numPr>
        <w:spacing w:after="80" w:before="60"/>
      </w:pPr>
      <w:r>
        <w:rPr>
          <w:rFonts w:ascii="Calibri" w:cs="Calibri" w:eastAsia="Calibri" w:hAnsi="Calibri"/>
          <w:sz w:val="22"/>
          <w:szCs w:val="22"/>
        </w:rPr>
        <w:t xml:space="preserve">Content strategy builds practice authority beyond ads</w:t>
      </w:r>
    </w:p>
    <w:p>
      <w:pPr>
        <w:pStyle w:val="Heading3"/>
        <w:spacing w:after="140" w:before="280"/>
      </w:pPr>
      <w:r>
        <w:rPr>
          <w:rFonts w:ascii="Calibri" w:cs="Calibri" w:eastAsia="Calibri" w:hAnsi="Calibri"/>
          <w:b/>
          <w:bCs/>
          <w:color w:val="2C3E50"/>
          <w:sz w:val="24"/>
          <w:szCs w:val="24"/>
        </w:rPr>
        <w:t xml:space="preserve">Objection Handling</w:t>
      </w:r>
    </w:p>
    <w:p>
      <w:pPr>
        <w:spacing w:after="100" w:before="60"/>
      </w:pPr>
      <w:r>
        <w:rPr>
          <w:rFonts w:ascii="Calibri" w:cs="Calibri" w:eastAsia="Calibri" w:hAnsi="Calibri"/>
          <w:b/>
          <w:bCs/>
          <w:color w:val="2980B9"/>
          <w:sz w:val="22"/>
          <w:szCs w:val="22"/>
        </w:rPr>
        <w:t xml:space="preserve">Q: "They have $60M in ad spend data"</w:t>
      </w:r>
    </w:p>
    <w:p>
      <w:pPr>
        <w:spacing w:after="100" w:before="60"/>
      </w:pPr>
      <w:r>
        <w:rPr>
          <w:rFonts w:ascii="Calibri" w:cs="Calibri" w:eastAsia="Calibri" w:hAnsi="Calibri"/>
          <w:color w:val="1E8449"/>
          <w:sz w:val="22"/>
          <w:szCs w:val="22"/>
        </w:rPr>
        <w:t xml:space="preserve">A: Data matters — but so does exclusivity. Their data helps everyone in your market equally. Ours works exclusively for you.</w:t>
      </w:r>
    </w:p>
    <w:p>
      <w:pPr>
        <w:spacing w:after="40" w:before="40"/>
      </w:pPr>
    </w:p>
    <w:p>
      <w:pPr>
        <w:spacing w:after="100" w:before="60"/>
      </w:pPr>
      <w:r>
        <w:rPr>
          <w:rFonts w:ascii="Calibri" w:cs="Calibri" w:eastAsia="Calibri" w:hAnsi="Calibri"/>
          <w:b/>
          <w:bCs/>
          <w:color w:val="2980B9"/>
          <w:sz w:val="22"/>
          <w:szCs w:val="22"/>
        </w:rPr>
        <w:t xml:space="preserve">Q: "PPC gets faster results"</w:t>
      </w:r>
    </w:p>
    <w:p>
      <w:pPr>
        <w:spacing w:after="100" w:before="60"/>
      </w:pPr>
      <w:r>
        <w:rPr>
          <w:rFonts w:ascii="Calibri" w:cs="Calibri" w:eastAsia="Calibri" w:hAnsi="Calibri"/>
          <w:color w:val="1E8449"/>
          <w:sz w:val="22"/>
          <w:szCs w:val="22"/>
        </w:rPr>
        <w:t xml:space="preserve">A: You're right — we combine PPC for immediate results with SEO for compounding organic growth. Best of both, with exclusivity protection.</w:t>
      </w:r>
    </w:p>
    <w:p>
      <w:pPr>
        <w:spacing w:after="40" w:before="4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pBdr>
      <w:jc w:val="center"/>
    </w:pPr>
    <w:r>
      <w:rPr>
        <w:rFonts w:ascii="Calibri" w:cs="Calibri" w:eastAsia="Calibri" w:hAnsi="Calibri"/>
        <w:color w:val="666666"/>
        <w:sz w:val="18"/>
        <w:szCs w:val="18"/>
      </w:rPr>
      <w:t xml:space="preserve">© 2026 Ekwa Marketing | Internal Use Only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pBdr>
      <w:jc w:val="right"/>
    </w:pPr>
    <w:r>
      <w:rPr>
        <w:rFonts w:ascii="Calibri" w:cs="Calibri" w:eastAsia="Calibri" w:hAnsi="Calibri"/>
        <w:color w:val="1B4F72"/>
        <w:sz w:val="18"/>
        <w:szCs w:val="18"/>
      </w:rPr>
      <w:t xml:space="preserve">Ekwa Marketing | Web Marketing for Dentists Competitor Teardown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B4F72"/>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B4F72"/>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2026-02-28T15:44:46.124Z</dcterms:created>
  <dcterms:modified xsi:type="dcterms:W3CDTF">2026-02-28T15:44:46.124Z</dcterms:modified>
</cp:coreProperties>
</file>

<file path=docProps/custom.xml><?xml version="1.0" encoding="utf-8"?>
<Properties xmlns="http://schemas.openxmlformats.org/officeDocument/2006/custom-properties" xmlns:vt="http://schemas.openxmlformats.org/officeDocument/2006/docPropsVTypes"/>
</file>