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2160"/>
        <w:jc w:val="center"/>
      </w:pPr>
      <w:r>
        <w:rPr>
          <w:rFonts w:ascii="Calibri" w:cs="Calibri" w:eastAsia="Calibri" w:hAnsi="Calibri"/>
          <w:b/>
          <w:bCs/>
          <w:color w:val="1B4F72"/>
          <w:sz w:val="56"/>
          <w:szCs w:val="56"/>
        </w:rPr>
        <w:t xml:space="preserve">Pro Impressions Marketing</w:t>
      </w:r>
    </w:p>
    <w:p>
      <w:pPr>
        <w:spacing w:after="80" w:before="80"/>
        <w:jc w:val="center"/>
      </w:pPr>
      <w:r>
        <w:rPr>
          <w:rFonts w:ascii="Calibri" w:cs="Calibri" w:eastAsia="Calibri" w:hAnsi="Calibri"/>
          <w:color w:val="2C3E50"/>
          <w:sz w:val="32"/>
          <w:szCs w:val="32"/>
        </w:rPr>
        <w:t xml:space="preserve">Competitive Teardown Report</w:t>
      </w:r>
    </w:p>
    <w:p>
      <w:pPr>
        <w:spacing w:after="80" w:before="80"/>
        <w:jc w:val="center"/>
      </w:pPr>
      <w:r>
        <w:rPr>
          <w:rFonts w:ascii="Calibri" w:cs="Calibri" w:eastAsia="Calibri" w:hAnsi="Calibri"/>
          <w:color w:val="2980B9"/>
          <w:sz w:val="24"/>
          <w:szCs w:val="24"/>
        </w:rPr>
        <w:t xml:space="preserve">Dental Marketing That Builds Patient Trust and Practice Authority</w:t>
      </w:r>
    </w:p>
    <w:p>
      <w:pPr>
        <w:spacing w:after="80" w:before="480"/>
        <w:jc w:val="center"/>
      </w:pPr>
      <w:r>
        <w:rPr>
          <w:rFonts w:ascii="Calibri" w:cs="Calibri" w:eastAsia="Calibri" w:hAnsi="Calibri"/>
          <w:b/>
          <w:bCs/>
          <w:color w:val="1E8449"/>
          <w:sz w:val="28"/>
          <w:szCs w:val="28"/>
        </w:rPr>
        <w:t xml:space="preserve">Threat Level: LOW</w:t>
      </w:r>
    </w:p>
    <w:p>
      <w:pPr>
        <w:spacing w:after="80" w:before="80"/>
        <w:jc w:val="center"/>
      </w:pPr>
      <w:r>
        <w:rPr>
          <w:rFonts w:ascii="Calibri" w:cs="Calibri" w:eastAsia="Calibri" w:hAnsi="Calibri"/>
          <w:color w:val="666666"/>
          <w:sz w:val="20"/>
          <w:szCs w:val="20"/>
        </w:rPr>
        <w:t xml:space="preserve">February 2026 | Ekwa Marketing | Confidential</w:t>
      </w:r>
    </w:p>
    <w:p>
      <w:r>
        <w:br w:type="page"/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1B4F72"/>
          <w:sz w:val="36"/>
          <w:szCs w:val="36"/>
        </w:rPr>
        <w:t xml:space="preserve">Company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54360"/>
                <w:sz w:val="20"/>
                <w:szCs w:val="20"/>
              </w:rPr>
              <w:t xml:space="preserve">Website</w:t>
            </w:r>
          </w:p>
        </w:tc>
        <w:tc>
          <w:tcPr>
            <w:tcW w:type="dxa" w:w="69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proimpressionsmarketing.com</w:t>
            </w:r>
          </w:p>
        </w:tc>
      </w:tr>
      <w:tr>
        <w:tc>
          <w:tcPr>
            <w:tcW w:type="dxa" w:w="24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54360"/>
                <w:sz w:val="20"/>
                <w:szCs w:val="20"/>
              </w:rPr>
              <w:t xml:space="preserve">Founded</w:t>
            </w:r>
          </w:p>
        </w:tc>
        <w:tc>
          <w:tcPr>
            <w:tcW w:type="dxa" w:w="69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2012 (estimated)</w:t>
            </w:r>
          </w:p>
        </w:tc>
      </w:tr>
      <w:tr>
        <w:tc>
          <w:tcPr>
            <w:tcW w:type="dxa" w:w="24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54360"/>
                <w:sz w:val="20"/>
                <w:szCs w:val="20"/>
              </w:rPr>
              <w:t xml:space="preserve">Est. Clients</w:t>
            </w:r>
          </w:p>
        </w:tc>
        <w:tc>
          <w:tcPr>
            <w:tcW w:type="dxa" w:w="69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300-600 (estimated)</w:t>
            </w:r>
          </w:p>
        </w:tc>
      </w:tr>
      <w:tr>
        <w:tc>
          <w:tcPr>
            <w:tcW w:type="dxa" w:w="24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54360"/>
                <w:sz w:val="20"/>
                <w:szCs w:val="20"/>
              </w:rPr>
              <w:t xml:space="preserve">Geography</w:t>
            </w:r>
          </w:p>
        </w:tc>
        <w:tc>
          <w:tcPr>
            <w:tcW w:type="dxa" w:w="69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USA</w:t>
            </w:r>
          </w:p>
        </w:tc>
      </w:tr>
      <w:tr>
        <w:tc>
          <w:tcPr>
            <w:tcW w:type="dxa" w:w="24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54360"/>
                <w:sz w:val="20"/>
                <w:szCs w:val="20"/>
              </w:rPr>
              <w:t xml:space="preserve">Primary Audience</w:t>
            </w:r>
          </w:p>
        </w:tc>
        <w:tc>
          <w:tcPr>
            <w:tcW w:type="dxa" w:w="69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Dental practices seeking integrated digital marketing with strong relationship focus</w:t>
            </w:r>
          </w:p>
        </w:tc>
      </w:tr>
      <w:tr>
        <w:tc>
          <w:tcPr>
            <w:tcW w:type="dxa" w:w="24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54360"/>
                <w:sz w:val="20"/>
                <w:szCs w:val="20"/>
              </w:rPr>
              <w:t xml:space="preserve">Threat to Ekwa</w:t>
            </w:r>
          </w:p>
        </w:tc>
        <w:tc>
          <w:tcPr>
            <w:tcW w:type="dxa" w:w="69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LOW</w:t>
            </w:r>
          </w:p>
        </w:tc>
      </w:tr>
    </w:tbl>
    <w:p>
      <w:pPr>
        <w:spacing w:after="120" w:before="240"/>
      </w:pP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B4F72"/>
          <w:sz w:val="28"/>
          <w:szCs w:val="28"/>
        </w:rPr>
        <w:t xml:space="preserve">1. Core Value Proposition</w:t>
      </w:r>
    </w:p>
    <w:p>
      <w:pPr>
        <w:pStyle w:val="Heading3"/>
        <w:spacing w:after="140" w:before="280"/>
      </w:pPr>
      <w:r>
        <w:rPr>
          <w:rFonts w:ascii="Calibri" w:cs="Calibri" w:eastAsia="Calibri" w:hAnsi="Calibri"/>
          <w:b/>
          <w:bCs/>
          <w:color w:val="2C3E50"/>
          <w:sz w:val="24"/>
          <w:szCs w:val="24"/>
        </w:rPr>
        <w:t xml:space="preserve">Promise</w:t>
      </w:r>
    </w:p>
    <w:p>
      <w:pPr>
        <w:spacing w:after="100" w:before="60"/>
      </w:pPr>
      <w:r>
        <w:rPr>
          <w:rFonts w:ascii="Calibri" w:cs="Calibri" w:eastAsia="Calibri" w:hAnsi="Calibri"/>
          <w:sz w:val="22"/>
          <w:szCs w:val="22"/>
        </w:rPr>
        <w:t xml:space="preserve">Build patient trust and practice authority through integrated website, SEO, PPC, and reputation management — with proactive communication and strategic partnership.</w:t>
      </w:r>
    </w:p>
    <w:p>
      <w:pPr>
        <w:pStyle w:val="Heading3"/>
        <w:spacing w:after="140" w:before="280"/>
      </w:pPr>
      <w:r>
        <w:rPr>
          <w:rFonts w:ascii="Calibri" w:cs="Calibri" w:eastAsia="Calibri" w:hAnsi="Calibri"/>
          <w:b/>
          <w:bCs/>
          <w:color w:val="2C3E50"/>
          <w:sz w:val="24"/>
          <w:szCs w:val="24"/>
        </w:rPr>
        <w:t xml:space="preserve">Evidence / Proof Points</w:t>
      </w:r>
    </w:p>
    <w:p>
      <w:pPr>
        <w:spacing w:after="100" w:before="60"/>
      </w:pPr>
      <w:r>
        <w:rPr>
          <w:rFonts w:ascii="Calibri" w:cs="Calibri" w:eastAsia="Calibri" w:hAnsi="Calibri"/>
          <w:sz w:val="22"/>
          <w:szCs w:val="22"/>
        </w:rPr>
        <w:t xml:space="preserve">Client case studies with dramatic results (14,417% tracked call increase); proactive client communication culture; integrated service delivery.</w:t>
      </w:r>
    </w:p>
    <w:p>
      <w:pPr>
        <w:pStyle w:val="Heading3"/>
        <w:spacing w:after="140" w:before="280"/>
      </w:pPr>
      <w:r>
        <w:rPr>
          <w:rFonts w:ascii="Calibri" w:cs="Calibri" w:eastAsia="Calibri" w:hAnsi="Calibri"/>
          <w:b/>
          <w:bCs/>
          <w:color w:val="2C3E50"/>
          <w:sz w:val="24"/>
          <w:szCs w:val="24"/>
        </w:rPr>
        <w:t xml:space="preserve">Mechanism (How It Works)</w:t>
      </w:r>
    </w:p>
    <w:p>
      <w:pPr>
        <w:spacing w:after="100" w:before="60"/>
      </w:pPr>
      <w:r>
        <w:rPr>
          <w:rFonts w:ascii="Calibri" w:cs="Calibri" w:eastAsia="Calibri" w:hAnsi="Calibri"/>
          <w:sz w:val="22"/>
          <w:szCs w:val="22"/>
        </w:rPr>
        <w:t xml:space="preserve">Brand refresh + SEO strategy + PPC execution + reputation management → tracked patient acquisition → proactive monthly strategic recommendations.</w:t>
      </w:r>
    </w:p>
    <w:p>
      <w:pPr>
        <w:pStyle w:val="Heading3"/>
        <w:spacing w:after="140" w:before="280"/>
      </w:pPr>
      <w:r>
        <w:rPr>
          <w:rFonts w:ascii="Calibri" w:cs="Calibri" w:eastAsia="Calibri" w:hAnsi="Calibri"/>
          <w:b/>
          <w:bCs/>
          <w:color w:val="2C3E50"/>
          <w:sz w:val="24"/>
          <w:szCs w:val="24"/>
        </w:rPr>
        <w:t xml:space="preserve">Uniqueness Claim</w:t>
      </w:r>
    </w:p>
    <w:p>
      <w:pPr>
        <w:spacing w:after="100" w:before="60"/>
      </w:pPr>
      <w:r>
        <w:rPr>
          <w:rFonts w:ascii="Calibri" w:cs="Calibri" w:eastAsia="Calibri" w:hAnsi="Calibri"/>
          <w:sz w:val="22"/>
          <w:szCs w:val="22"/>
        </w:rPr>
        <w:t xml:space="preserve">Proactive strategy and communication: brings new ideas to clients without waiting to be asked. Positions as a true strategic partner rather than just a vendor executing tasks.</w:t>
      </w:r>
    </w:p>
    <w:p>
      <w:r>
        <w:br w:type="page"/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B4F72"/>
          <w:sz w:val="28"/>
          <w:szCs w:val="28"/>
        </w:rPr>
        <w:t xml:space="preserve">2. Estimated Cost Structure &amp; Margins</w:t>
      </w:r>
    </w:p>
    <w:p>
      <w:pPr>
        <w:pStyle w:val="Heading3"/>
        <w:spacing w:after="140" w:before="280"/>
      </w:pPr>
      <w:r>
        <w:rPr>
          <w:rFonts w:ascii="Calibri" w:cs="Calibri" w:eastAsia="Calibri" w:hAnsi="Calibri"/>
          <w:b/>
          <w:bCs/>
          <w:color w:val="2C3E50"/>
          <w:sz w:val="24"/>
          <w:szCs w:val="24"/>
        </w:rPr>
        <w:t xml:space="preserve">Pricing Model</w:t>
      </w:r>
    </w:p>
    <w:p>
      <w:pPr>
        <w:spacing w:after="100" w:before="60"/>
      </w:pPr>
      <w:r>
        <w:rPr>
          <w:rFonts w:ascii="Calibri" w:cs="Calibri" w:eastAsia="Calibri" w:hAnsi="Calibri"/>
          <w:sz w:val="22"/>
          <w:szCs w:val="22"/>
        </w:rPr>
        <w:t xml:space="preserve">Estimated $1,000–$3,000/month. Mid-market positioning.</w:t>
      </w:r>
    </w:p>
    <w:p>
      <w:pPr>
        <w:pStyle w:val="Heading3"/>
        <w:spacing w:after="140" w:before="280"/>
      </w:pPr>
      <w:r>
        <w:rPr>
          <w:rFonts w:ascii="Calibri" w:cs="Calibri" w:eastAsia="Calibri" w:hAnsi="Calibri"/>
          <w:b/>
          <w:bCs/>
          <w:color w:val="2C3E50"/>
          <w:sz w:val="24"/>
          <w:szCs w:val="24"/>
        </w:rPr>
        <w:t xml:space="preserve">Revenue Model</w:t>
      </w:r>
    </w:p>
    <w:p>
      <w:pPr>
        <w:spacing w:after="100" w:before="60"/>
      </w:pPr>
      <w:r>
        <w:rPr>
          <w:rFonts w:ascii="Calibri" w:cs="Calibri" w:eastAsia="Calibri" w:hAnsi="Calibri"/>
          <w:sz w:val="22"/>
          <w:szCs w:val="22"/>
        </w:rPr>
        <w:t xml:space="preserve">Monthly retainer. Standard agency model.</w:t>
      </w:r>
    </w:p>
    <w:p>
      <w:pPr>
        <w:pStyle w:val="Heading3"/>
        <w:spacing w:after="140" w:before="280"/>
      </w:pPr>
      <w:r>
        <w:rPr>
          <w:rFonts w:ascii="Calibri" w:cs="Calibri" w:eastAsia="Calibri" w:hAnsi="Calibri"/>
          <w:b/>
          <w:bCs/>
          <w:color w:val="2C3E50"/>
          <w:sz w:val="24"/>
          <w:szCs w:val="24"/>
        </w:rPr>
        <w:t xml:space="preserve">Estimated Gross Margin</w:t>
      </w:r>
    </w:p>
    <w:p>
      <w:pPr>
        <w:spacing w:after="100" w:before="60"/>
      </w:pPr>
      <w:r>
        <w:rPr>
          <w:rFonts w:ascii="Calibri" w:cs="Calibri" w:eastAsia="Calibri" w:hAnsi="Calibri"/>
          <w:sz w:val="22"/>
          <w:szCs w:val="22"/>
        </w:rPr>
        <w:t xml:space="preserve">45–60%.</w:t>
      </w:r>
    </w:p>
    <w:p>
      <w:pPr>
        <w:pStyle w:val="Heading3"/>
        <w:spacing w:after="140" w:before="280"/>
      </w:pPr>
      <w:r>
        <w:rPr>
          <w:rFonts w:ascii="Calibri" w:cs="Calibri" w:eastAsia="Calibri" w:hAnsi="Calibri"/>
          <w:b/>
          <w:bCs/>
          <w:color w:val="2C3E50"/>
          <w:sz w:val="24"/>
          <w:szCs w:val="24"/>
        </w:rPr>
        <w:t xml:space="preserve">Funding / Business Status</w:t>
      </w:r>
    </w:p>
    <w:p>
      <w:pPr>
        <w:spacing w:after="100" w:before="60"/>
      </w:pPr>
      <w:r>
        <w:rPr>
          <w:rFonts w:ascii="Calibri" w:cs="Calibri" w:eastAsia="Calibri" w:hAnsi="Calibri"/>
          <w:sz w:val="22"/>
          <w:szCs w:val="22"/>
        </w:rPr>
        <w:t xml:space="preserve">Privately owned, bootstrapped.</w:t>
      </w:r>
    </w:p>
    <w:p>
      <w:pPr>
        <w:pStyle w:val="Heading3"/>
        <w:spacing w:after="140" w:before="280"/>
      </w:pPr>
      <w:r>
        <w:rPr>
          <w:rFonts w:ascii="Calibri" w:cs="Calibri" w:eastAsia="Calibri" w:hAnsi="Calibri"/>
          <w:b/>
          <w:bCs/>
          <w:color w:val="2C3E50"/>
          <w:sz w:val="24"/>
          <w:szCs w:val="24"/>
        </w:rPr>
        <w:t xml:space="preserve">Primary Margin Driver</w:t>
      </w:r>
    </w:p>
    <w:p>
      <w:pPr>
        <w:spacing w:after="100" w:before="60"/>
      </w:pPr>
      <w:r>
        <w:rPr>
          <w:rFonts w:ascii="Calibri" w:cs="Calibri" w:eastAsia="Calibri" w:hAnsi="Calibri"/>
          <w:sz w:val="22"/>
          <w:szCs w:val="22"/>
        </w:rPr>
        <w:t xml:space="preserve">Proactive communication culture differentiates and improves retention, reducing churn-driven CAC burden.</w:t>
      </w:r>
    </w:p>
    <w:p>
      <w:r>
        <w:br w:type="page"/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B4F72"/>
          <w:sz w:val="28"/>
          <w:szCs w:val="28"/>
        </w:rPr>
        <w:t xml:space="preserve">3. Go-to-Market Strategy</w:t>
      </w:r>
    </w:p>
    <w:p>
      <w:pPr>
        <w:pStyle w:val="Heading3"/>
        <w:spacing w:after="140" w:before="280"/>
      </w:pPr>
      <w:r>
        <w:rPr>
          <w:rFonts w:ascii="Calibri" w:cs="Calibri" w:eastAsia="Calibri" w:hAnsi="Calibri"/>
          <w:b/>
          <w:bCs/>
          <w:color w:val="2C3E50"/>
          <w:sz w:val="24"/>
          <w:szCs w:val="24"/>
        </w:rPr>
        <w:t xml:space="preserve">Overall Strategy</w:t>
      </w:r>
    </w:p>
    <w:p>
      <w:pPr>
        <w:spacing w:after="100" w:before="60"/>
      </w:pPr>
      <w:r>
        <w:rPr>
          <w:rFonts w:ascii="Calibri" w:cs="Calibri" w:eastAsia="Calibri" w:hAnsi="Calibri"/>
          <w:sz w:val="22"/>
          <w:szCs w:val="22"/>
        </w:rPr>
        <w:t xml:space="preserve">Referral and relationship-based growth; content marketing on dental marketing topics; dental industry event presence; proactive client communication as sales differentiator.</w:t>
      </w:r>
    </w:p>
    <w:p>
      <w:pPr>
        <w:pStyle w:val="Heading3"/>
        <w:spacing w:after="140" w:before="280"/>
      </w:pPr>
      <w:r>
        <w:rPr>
          <w:rFonts w:ascii="Calibri" w:cs="Calibri" w:eastAsia="Calibri" w:hAnsi="Calibri"/>
          <w:b/>
          <w:bCs/>
          <w:color w:val="2C3E50"/>
          <w:sz w:val="24"/>
          <w:szCs w:val="24"/>
        </w:rPr>
        <w:t xml:space="preserve">Sales Motion</w:t>
      </w:r>
    </w:p>
    <w:p>
      <w:pPr>
        <w:spacing w:after="100" w:before="60"/>
      </w:pPr>
      <w:r>
        <w:rPr>
          <w:rFonts w:ascii="Calibri" w:cs="Calibri" w:eastAsia="Calibri" w:hAnsi="Calibri"/>
          <w:sz w:val="22"/>
          <w:szCs w:val="22"/>
        </w:rPr>
        <w:t xml:space="preserve">Referral-driven. Happy clients refer other dental practices. Consultative sales process emphasizing partnership over vendor relationship.</w:t>
      </w:r>
    </w:p>
    <w:p>
      <w:pPr>
        <w:pStyle w:val="Heading3"/>
        <w:spacing w:after="140" w:before="280"/>
      </w:pPr>
      <w:r>
        <w:rPr>
          <w:rFonts w:ascii="Calibri" w:cs="Calibri" w:eastAsia="Calibri" w:hAnsi="Calibri"/>
          <w:b/>
          <w:bCs/>
          <w:color w:val="2C3E50"/>
          <w:sz w:val="24"/>
          <w:szCs w:val="24"/>
        </w:rPr>
        <w:t xml:space="preserve">Key Channels</w:t>
      </w:r>
    </w:p>
    <w:p>
      <w:pPr>
        <w:spacing w:after="100" w:before="60"/>
      </w:pPr>
      <w:r>
        <w:rPr>
          <w:rFonts w:ascii="Calibri" w:cs="Calibri" w:eastAsia="Calibri" w:hAnsi="Calibri"/>
          <w:sz w:val="22"/>
          <w:szCs w:val="22"/>
        </w:rPr>
        <w:t xml:space="preserve">Client referrals, dental association connections, limited conference presence, content marketing.</w:t>
      </w:r>
    </w:p>
    <w:p>
      <w:pPr>
        <w:pStyle w:val="Heading3"/>
        <w:spacing w:after="140" w:before="280"/>
      </w:pPr>
      <w:r>
        <w:rPr>
          <w:rFonts w:ascii="Calibri" w:cs="Calibri" w:eastAsia="Calibri" w:hAnsi="Calibri"/>
          <w:b/>
          <w:bCs/>
          <w:color w:val="2C3E50"/>
          <w:sz w:val="24"/>
          <w:szCs w:val="24"/>
        </w:rPr>
        <w:t xml:space="preserve">Primary Content Themes</w:t>
      </w:r>
    </w:p>
    <w:p>
      <w:pPr>
        <w:spacing w:after="100" w:before="60"/>
      </w:pPr>
      <w:r>
        <w:rPr>
          <w:rFonts w:ascii="Calibri" w:cs="Calibri" w:eastAsia="Calibri" w:hAnsi="Calibri"/>
          <w:sz w:val="22"/>
          <w:szCs w:val="22"/>
        </w:rPr>
        <w:t xml:space="preserve">Dental marketing strategy, patient trust building, practice authority, integrated digital marketing, dental practice growth.</w:t>
      </w:r>
    </w:p>
    <w:p>
      <w:r>
        <w:br w:type="page"/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B4F72"/>
          <w:sz w:val="28"/>
          <w:szCs w:val="28"/>
        </w:rPr>
        <w:t xml:space="preserve">4. Technological / Operational Moats</w:t>
      </w:r>
    </w:p>
    <w:p>
      <w:pPr>
        <w:pStyle w:val="Heading3"/>
        <w:spacing w:after="140" w:before="280"/>
      </w:pPr>
      <w:r>
        <w:rPr>
          <w:rFonts w:ascii="Calibri" w:cs="Calibri" w:eastAsia="Calibri" w:hAnsi="Calibri"/>
          <w:b/>
          <w:bCs/>
          <w:color w:val="2C3E50"/>
          <w:sz w:val="24"/>
          <w:szCs w:val="24"/>
        </w:rPr>
        <w:t xml:space="preserve">Technology Moat</w:t>
      </w:r>
    </w:p>
    <w:p>
      <w:pPr>
        <w:spacing w:after="100" w:before="60"/>
      </w:pPr>
      <w:r>
        <w:rPr>
          <w:rFonts w:ascii="Calibri" w:cs="Calibri" w:eastAsia="Calibri" w:hAnsi="Calibri"/>
          <w:sz w:val="22"/>
          <w:szCs w:val="22"/>
        </w:rPr>
        <w:t xml:space="preserve">No proprietary technology.</w:t>
      </w:r>
    </w:p>
    <w:p>
      <w:pPr>
        <w:pStyle w:val="Heading3"/>
        <w:spacing w:after="140" w:before="280"/>
      </w:pPr>
      <w:r>
        <w:rPr>
          <w:rFonts w:ascii="Calibri" w:cs="Calibri" w:eastAsia="Calibri" w:hAnsi="Calibri"/>
          <w:b/>
          <w:bCs/>
          <w:color w:val="2C3E50"/>
          <w:sz w:val="24"/>
          <w:szCs w:val="24"/>
        </w:rPr>
        <w:t xml:space="preserve">Operational Moat</w:t>
      </w:r>
    </w:p>
    <w:p>
      <w:pPr>
        <w:spacing w:after="100" w:before="60"/>
      </w:pPr>
      <w:r>
        <w:rPr>
          <w:rFonts w:ascii="Calibri" w:cs="Calibri" w:eastAsia="Calibri" w:hAnsi="Calibri"/>
          <w:sz w:val="22"/>
          <w:szCs w:val="22"/>
        </w:rPr>
        <w:t xml:space="preserve">Proactive communication culture creates strong client relationships and retention; integrated service delivery.</w:t>
      </w:r>
    </w:p>
    <w:p>
      <w:pPr>
        <w:pStyle w:val="Heading3"/>
        <w:spacing w:after="140" w:before="280"/>
      </w:pPr>
      <w:r>
        <w:rPr>
          <w:rFonts w:ascii="Calibri" w:cs="Calibri" w:eastAsia="Calibri" w:hAnsi="Calibri"/>
          <w:b/>
          <w:bCs/>
          <w:color w:val="2C3E50"/>
          <w:sz w:val="24"/>
          <w:szCs w:val="24"/>
        </w:rPr>
        <w:t xml:space="preserve">Data Moat</w:t>
      </w:r>
    </w:p>
    <w:p>
      <w:pPr>
        <w:spacing w:after="100" w:before="60"/>
      </w:pPr>
      <w:r>
        <w:rPr>
          <w:rFonts w:ascii="Calibri" w:cs="Calibri" w:eastAsia="Calibri" w:hAnsi="Calibri"/>
          <w:sz w:val="22"/>
          <w:szCs w:val="22"/>
        </w:rPr>
        <w:t xml:space="preserve">Case studies with impressive ROI data points — but case study results at dramatic levels (14,417% increase) may not be representative.</w:t>
      </w:r>
    </w:p>
    <w:p>
      <w:pPr>
        <w:pStyle w:val="Heading3"/>
        <w:spacing w:after="140" w:before="280"/>
      </w:pPr>
      <w:r>
        <w:rPr>
          <w:rFonts w:ascii="Calibri" w:cs="Calibri" w:eastAsia="Calibri" w:hAnsi="Calibri"/>
          <w:b/>
          <w:bCs/>
          <w:color w:val="2C3E50"/>
          <w:sz w:val="24"/>
          <w:szCs w:val="24"/>
        </w:rPr>
        <w:t xml:space="preserve">Switching Costs</w:t>
      </w:r>
    </w:p>
    <w:p>
      <w:pPr>
        <w:spacing w:after="100" w:before="60"/>
      </w:pPr>
      <w:r>
        <w:rPr>
          <w:rFonts w:ascii="Calibri" w:cs="Calibri" w:eastAsia="Calibri" w:hAnsi="Calibri"/>
          <w:sz w:val="22"/>
          <w:szCs w:val="22"/>
        </w:rPr>
        <w:t xml:space="preserve">Relationship depth and trust create moderate switching costs. Clients who stay long-term build deep partnership dynamics.</w:t>
      </w:r>
    </w:p>
    <w:p>
      <w:r>
        <w:br w:type="page"/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B4F72"/>
          <w:sz w:val="28"/>
          <w:szCs w:val="28"/>
        </w:rPr>
        <w:t xml:space="preserve">5. Key Vulnerabilities</w:t>
      </w:r>
    </w:p>
    <w:p>
      <w:pPr>
        <w:pStyle w:val="Heading3"/>
        <w:spacing w:after="140" w:before="280"/>
      </w:pPr>
      <w:r>
        <w:rPr>
          <w:rFonts w:ascii="Calibri" w:cs="Calibri" w:eastAsia="Calibri" w:hAnsi="Calibri"/>
          <w:b/>
          <w:bCs/>
          <w:color w:val="C0392B"/>
          <w:sz w:val="24"/>
          <w:szCs w:val="24"/>
        </w:rPr>
        <w:t xml:space="preserve">Primary Vulnerability</w:t>
      </w:r>
    </w:p>
    <w:p>
      <w:pPr>
        <w:spacing w:after="100" w:before="60"/>
      </w:pPr>
      <w:r>
        <w:rPr>
          <w:rFonts w:ascii="Calibri" w:cs="Calibri" w:eastAsia="Calibri" w:hAnsi="Calibri"/>
          <w:color w:val="C0392B"/>
          <w:sz w:val="22"/>
          <w:szCs w:val="22"/>
        </w:rPr>
        <w:t xml:space="preserve">Limited technology differentiation. In a market moving toward platforms and AI, a relationship-based agency model is increasingly at risk.</w:t>
      </w:r>
    </w:p>
    <w:p>
      <w:pPr>
        <w:pStyle w:val="Heading3"/>
        <w:spacing w:after="140" w:before="280"/>
      </w:pPr>
      <w:r>
        <w:rPr>
          <w:rFonts w:ascii="Calibri" w:cs="Calibri" w:eastAsia="Calibri" w:hAnsi="Calibri"/>
          <w:b/>
          <w:bCs/>
          <w:color w:val="C0392B"/>
          <w:sz w:val="24"/>
          <w:szCs w:val="24"/>
        </w:rPr>
        <w:t xml:space="preserve">Secondary Vulnerability</w:t>
      </w:r>
    </w:p>
    <w:p>
      <w:pPr>
        <w:spacing w:after="100" w:before="60"/>
      </w:pPr>
      <w:r>
        <w:rPr>
          <w:rFonts w:ascii="Calibri" w:cs="Calibri" w:eastAsia="Calibri" w:hAnsi="Calibri"/>
          <w:color w:val="C0392B"/>
          <w:sz w:val="22"/>
          <w:szCs w:val="22"/>
        </w:rPr>
        <w:t xml:space="preserve">Smaller scale limits aggregate data advantages. Cannot leverage cross-client insights the way larger competitors can.</w:t>
      </w:r>
    </w:p>
    <w:p>
      <w:pPr>
        <w:pStyle w:val="Heading3"/>
        <w:spacing w:after="140" w:before="280"/>
      </w:pPr>
      <w:r>
        <w:rPr>
          <w:rFonts w:ascii="Calibri" w:cs="Calibri" w:eastAsia="Calibri" w:hAnsi="Calibri"/>
          <w:b/>
          <w:bCs/>
          <w:color w:val="C0392B"/>
          <w:sz w:val="24"/>
          <w:szCs w:val="24"/>
        </w:rPr>
        <w:t xml:space="preserve">Tertiary Vulnerability</w:t>
      </w:r>
    </w:p>
    <w:p>
      <w:pPr>
        <w:spacing w:after="100" w:before="60"/>
      </w:pPr>
      <w:r>
        <w:rPr>
          <w:rFonts w:ascii="Calibri" w:cs="Calibri" w:eastAsia="Calibri" w:hAnsi="Calibri"/>
          <w:color w:val="C0392B"/>
          <w:sz w:val="22"/>
          <w:szCs w:val="22"/>
        </w:rPr>
        <w:t xml:space="preserve">Case study results that are extraordinary (14,417% increase) may not be reproducible across the client base — creating expectation management risk.</w:t>
      </w:r>
    </w:p>
    <w:p>
      <w:pPr>
        <w:pStyle w:val="Heading3"/>
        <w:spacing w:after="140" w:before="280"/>
      </w:pPr>
      <w:r>
        <w:rPr>
          <w:rFonts w:ascii="Calibri" w:cs="Calibri" w:eastAsia="Calibri" w:hAnsi="Calibri"/>
          <w:b/>
          <w:bCs/>
          <w:color w:val="D4AC0D"/>
          <w:sz w:val="24"/>
          <w:szCs w:val="24"/>
        </w:rPr>
        <w:t xml:space="preserve">Services Gap</w:t>
      </w:r>
    </w:p>
    <w:p>
      <w:pPr>
        <w:spacing w:after="100" w:before="60"/>
      </w:pPr>
      <w:r>
        <w:rPr>
          <w:rFonts w:ascii="Calibri" w:cs="Calibri" w:eastAsia="Calibri" w:hAnsi="Calibri"/>
          <w:color w:val="D4AC0D"/>
          <w:sz w:val="22"/>
          <w:szCs w:val="22"/>
        </w:rPr>
        <w:t xml:space="preserve">Limited innovation in service offerings. May not offer newer capabilities like AI optimization, GEO, or programmatic.</w:t>
      </w:r>
    </w:p>
    <w:p>
      <w:pPr>
        <w:pStyle w:val="Heading3"/>
        <w:spacing w:after="140" w:before="280"/>
      </w:pPr>
      <w:r>
        <w:rPr>
          <w:rFonts w:ascii="Calibri" w:cs="Calibri" w:eastAsia="Calibri" w:hAnsi="Calibri"/>
          <w:b/>
          <w:bCs/>
          <w:color w:val="D4AC0D"/>
          <w:sz w:val="24"/>
          <w:szCs w:val="24"/>
        </w:rPr>
        <w:t xml:space="preserve">Reputation Risk</w:t>
      </w:r>
    </w:p>
    <w:p>
      <w:pPr>
        <w:spacing w:after="100" w:before="60"/>
      </w:pPr>
      <w:r>
        <w:rPr>
          <w:rFonts w:ascii="Calibri" w:cs="Calibri" w:eastAsia="Calibri" w:hAnsi="Calibri"/>
          <w:color w:val="D4AC0D"/>
          <w:sz w:val="22"/>
          <w:szCs w:val="22"/>
        </w:rPr>
        <w:t xml:space="preserve">Proactive communication culture is founder/team-dependent. Key talent departure could erode the primary differentiator.</w:t>
      </w:r>
    </w:p>
    <w:p>
      <w:r>
        <w:br w:type="page"/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E8449"/>
          <w:sz w:val="28"/>
          <w:szCs w:val="28"/>
        </w:rPr>
        <w:t xml:space="preserve">6. Ekwa Competitive Position &amp; Battlecard</w:t>
      </w:r>
    </w:p>
    <w:p>
      <w:pPr>
        <w:pStyle w:val="Heading3"/>
        <w:spacing w:after="140" w:before="280"/>
      </w:pPr>
      <w:r>
        <w:rPr>
          <w:rFonts w:ascii="Calibri" w:cs="Calibri" w:eastAsia="Calibri" w:hAnsi="Calibri"/>
          <w:b/>
          <w:bCs/>
          <w:color w:val="1E8449"/>
          <w:sz w:val="24"/>
          <w:szCs w:val="24"/>
        </w:rPr>
        <w:t xml:space="preserve">Target Segment to Poach</w:t>
      </w:r>
    </w:p>
    <w:p>
      <w:pPr>
        <w:spacing w:after="100" w:before="60"/>
      </w:pPr>
      <w:r>
        <w:rPr>
          <w:rFonts w:ascii="Calibri" w:cs="Calibri" w:eastAsia="Calibri" w:hAnsi="Calibri"/>
          <w:sz w:val="22"/>
          <w:szCs w:val="22"/>
        </w:rPr>
        <w:t xml:space="preserve">Practices that like Pro Impressions' partnership approach but want more scale, more data, and more longevity.</w:t>
      </w:r>
    </w:p>
    <w:p>
      <w:pPr>
        <w:pStyle w:val="Heading3"/>
        <w:spacing w:after="140" w:before="280"/>
      </w:pPr>
      <w:r>
        <w:rPr>
          <w:rFonts w:ascii="Calibri" w:cs="Calibri" w:eastAsia="Calibri" w:hAnsi="Calibri"/>
          <w:b/>
          <w:bCs/>
          <w:color w:val="1E8449"/>
          <w:sz w:val="24"/>
          <w:szCs w:val="24"/>
        </w:rPr>
        <w:t xml:space="preserve">Our Key Message</w:t>
      </w:r>
    </w:p>
    <w:p>
      <w:pPr>
        <w:spacing w:after="100" w:before="60"/>
      </w:pPr>
      <w:r>
        <w:rPr>
          <w:rFonts w:ascii="Calibri" w:cs="Calibri" w:eastAsia="Calibri" w:hAnsi="Calibri"/>
          <w:b/>
          <w:bCs/>
          <w:color w:val="1E8449"/>
          <w:sz w:val="22"/>
          <w:szCs w:val="22"/>
        </w:rPr>
        <w:t xml:space="preserve">Great partnership is our foundation too — but ours has 16 years of dental-specific results behind it.</w:t>
      </w:r>
    </w:p>
    <w:p>
      <w:pPr>
        <w:pStyle w:val="Heading3"/>
        <w:spacing w:after="140" w:before="280"/>
      </w:pPr>
      <w:r>
        <w:rPr>
          <w:rFonts w:ascii="Calibri" w:cs="Calibri" w:eastAsia="Calibri" w:hAnsi="Calibri"/>
          <w:b/>
          <w:bCs/>
          <w:color w:val="1E8449"/>
          <w:sz w:val="24"/>
          <w:szCs w:val="24"/>
        </w:rPr>
        <w:t xml:space="preserve">Sales Battlecard Pitch</w:t>
      </w:r>
    </w:p>
    <w:p>
      <w:pPr>
        <w:spacing w:after="100" w:before="60"/>
      </w:pPr>
      <w:r>
        <w:rPr>
          <w:rFonts w:ascii="Calibri" w:cs="Calibri" w:eastAsia="Calibri" w:hAnsi="Calibri"/>
          <w:sz w:val="22"/>
          <w:szCs w:val="22"/>
        </w:rPr>
        <w:t xml:space="preserve">Ekwa invented proactive dental marketing partnership — we've been bringing new ideas to dental practices since 2008. Our client retention rate reflects a service model that Pro Impressions is trying to replicate.</w:t>
      </w:r>
    </w:p>
    <w:p>
      <w:pPr>
        <w:pStyle w:val="Heading3"/>
        <w:spacing w:after="140" w:before="280"/>
      </w:pPr>
      <w:r>
        <w:rPr>
          <w:rFonts w:ascii="Calibri" w:cs="Calibri" w:eastAsia="Calibri" w:hAnsi="Calibri"/>
          <w:b/>
          <w:bCs/>
          <w:color w:val="1E8449"/>
          <w:sz w:val="24"/>
          <w:szCs w:val="24"/>
        </w:rPr>
        <w:t xml:space="preserve">Proof Points</w:t>
      </w:r>
    </w:p>
    <w:p>
      <w:pPr>
        <w:pStyle w:val="ListParagraph"/>
        <w:numPr>
          <w:ilvl w:val="0"/>
          <w:numId w:val="2"/>
        </w:numPr>
        <w:spacing w:after="80" w:before="60"/>
      </w:pPr>
      <w:r>
        <w:rPr>
          <w:rFonts w:ascii="Calibri" w:cs="Calibri" w:eastAsia="Calibri" w:hAnsi="Calibri"/>
          <w:sz w:val="22"/>
          <w:szCs w:val="22"/>
        </w:rPr>
        <w:t xml:space="preserve">Dedicated account teams for every client</w:t>
      </w:r>
    </w:p>
    <w:p>
      <w:pPr>
        <w:pStyle w:val="ListParagraph"/>
        <w:numPr>
          <w:ilvl w:val="0"/>
          <w:numId w:val="2"/>
        </w:numPr>
        <w:spacing w:after="80" w:before="60"/>
      </w:pPr>
      <w:r>
        <w:rPr>
          <w:rFonts w:ascii="Calibri" w:cs="Calibri" w:eastAsia="Calibri" w:hAnsi="Calibri"/>
          <w:sz w:val="22"/>
          <w:szCs w:val="22"/>
        </w:rPr>
        <w:t xml:space="preserve">Monthly strategic recommendations included standard</w:t>
      </w:r>
    </w:p>
    <w:p>
      <w:pPr>
        <w:pStyle w:val="ListParagraph"/>
        <w:numPr>
          <w:ilvl w:val="0"/>
          <w:numId w:val="2"/>
        </w:numPr>
        <w:spacing w:after="80" w:before="60"/>
      </w:pPr>
      <w:r>
        <w:rPr>
          <w:rFonts w:ascii="Calibri" w:cs="Calibri" w:eastAsia="Calibri" w:hAnsi="Calibri"/>
          <w:sz w:val="22"/>
          <w:szCs w:val="22"/>
        </w:rPr>
        <w:t xml:space="preserve">Longer track record, larger portfolio</w:t>
      </w:r>
    </w:p>
    <w:p>
      <w:pPr>
        <w:pStyle w:val="ListParagraph"/>
        <w:numPr>
          <w:ilvl w:val="0"/>
          <w:numId w:val="2"/>
        </w:numPr>
        <w:spacing w:after="80" w:before="60"/>
      </w:pPr>
      <w:r>
        <w:rPr>
          <w:rFonts w:ascii="Calibri" w:cs="Calibri" w:eastAsia="Calibri" w:hAnsi="Calibri"/>
          <w:sz w:val="22"/>
          <w:szCs w:val="22"/>
        </w:rPr>
        <w:t xml:space="preserve">Per-market exclusivity Pro Impressions cannot offer</w:t>
      </w:r>
    </w:p>
    <w:p>
      <w:pPr>
        <w:pStyle w:val="Heading3"/>
        <w:spacing w:after="140" w:before="280"/>
      </w:pPr>
      <w:r>
        <w:rPr>
          <w:rFonts w:ascii="Calibri" w:cs="Calibri" w:eastAsia="Calibri" w:hAnsi="Calibri"/>
          <w:b/>
          <w:bCs/>
          <w:color w:val="2C3E50"/>
          <w:sz w:val="24"/>
          <w:szCs w:val="24"/>
        </w:rPr>
        <w:t xml:space="preserve">Objection Handling</w:t>
      </w:r>
    </w:p>
    <w:p>
      <w:pPr>
        <w:spacing w:after="100" w:before="60"/>
      </w:pPr>
      <w:r>
        <w:rPr>
          <w:rFonts w:ascii="Calibri" w:cs="Calibri" w:eastAsia="Calibri" w:hAnsi="Calibri"/>
          <w:b/>
          <w:bCs/>
          <w:color w:val="2980B9"/>
          <w:sz w:val="22"/>
          <w:szCs w:val="22"/>
        </w:rPr>
        <w:t xml:space="preserve">Q: "Pro Impressions is very proactive and easy to work with"</w:t>
      </w:r>
    </w:p>
    <w:p>
      <w:pPr>
        <w:spacing w:after="100" w:before="60"/>
      </w:pPr>
      <w:r>
        <w:rPr>
          <w:rFonts w:ascii="Calibri" w:cs="Calibri" w:eastAsia="Calibri" w:hAnsi="Calibri"/>
          <w:color w:val="1E8449"/>
          <w:sz w:val="22"/>
          <w:szCs w:val="22"/>
        </w:rPr>
        <w:t xml:space="preserve">A: We build the same culture into every client relationship. But we back it with 16 years of dental market expertise and exclusive market positioning they can't match.</w:t>
      </w:r>
    </w:p>
    <w:p>
      <w:pPr>
        <w:spacing w:after="40" w:before="40"/>
      </w:pPr>
    </w:p>
    <w:p>
      <w:pPr>
        <w:spacing w:after="100" w:before="60"/>
      </w:pPr>
      <w:r>
        <w:rPr>
          <w:rFonts w:ascii="Calibri" w:cs="Calibri" w:eastAsia="Calibri" w:hAnsi="Calibri"/>
          <w:b/>
          <w:bCs/>
          <w:color w:val="2980B9"/>
          <w:sz w:val="22"/>
          <w:szCs w:val="22"/>
        </w:rPr>
        <w:t xml:space="preserve">Q: "Their case studies show huge results"</w:t>
      </w:r>
    </w:p>
    <w:p>
      <w:pPr>
        <w:spacing w:after="100" w:before="60"/>
      </w:pPr>
      <w:r>
        <w:rPr>
          <w:rFonts w:ascii="Calibri" w:cs="Calibri" w:eastAsia="Calibri" w:hAnsi="Calibri"/>
          <w:color w:val="1E8449"/>
          <w:sz w:val="22"/>
          <w:szCs w:val="22"/>
        </w:rPr>
        <w:t xml:space="preserve">A: Great results. We have 400+ case studies. Let's find one in your specific dental specialty and market size — that's a more useful comparison.</w:t>
      </w:r>
    </w:p>
    <w:p>
      <w:pPr>
        <w:spacing w:after="40" w:before="40"/>
      </w:pP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DC3C7" w:sz="4"/>
      </w:pBdr>
      <w:jc w:val="center"/>
    </w:pPr>
    <w:r>
      <w:rPr>
        <w:rFonts w:ascii="Calibri" w:cs="Calibri" w:eastAsia="Calibri" w:hAnsi="Calibri"/>
        <w:color w:val="666666"/>
        <w:sz w:val="18"/>
        <w:szCs w:val="18"/>
      </w:rPr>
      <w:t xml:space="preserve">© 2026 Ekwa Marketing | Internal Use Only | Page </w:t>
    </w:r>
    <w:r>
      <w:rPr>
        <w:rFonts w:ascii="Calibri" w:cs="Calibri" w:eastAsia="Calibri" w:hAnsi="Calibri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4F72" w:sz="6"/>
      </w:pBdr>
      <w:jc w:val="right"/>
    </w:pPr>
    <w:r>
      <w:rPr>
        <w:rFonts w:ascii="Calibri" w:cs="Calibri" w:eastAsia="Calibri" w:hAnsi="Calibri"/>
        <w:color w:val="1B4F72"/>
        <w:sz w:val="18"/>
        <w:szCs w:val="18"/>
      </w:rPr>
      <w:t xml:space="preserve">Ekwa Marketing | Pro Impressions Marketing Competitor Teardown |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Calibri" w:cs="Calibri" w:eastAsia="Calibri" w:hAnsi="Calibri"/>
      <w:b/>
      <w:bCs/>
      <w:color w:val="1B4F72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Calibri" w:cs="Calibri" w:eastAsia="Calibri" w:hAnsi="Calibri"/>
      <w:b/>
      <w:bCs/>
      <w:color w:val="1B4F72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Calibri" w:cs="Calibri" w:eastAsia="Calibri" w:hAnsi="Calibri"/>
      <w:b/>
      <w:bCs/>
      <w:color w:val="2C3E5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2026-02-28T15:44:46.146Z</dcterms:created>
  <dcterms:modified xsi:type="dcterms:W3CDTF">2026-02-28T15:44:46.146Z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