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6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Golden Proportions Marketing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Competitive Teardown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980B9"/>
          <w:sz w:val="24"/>
          <w:szCs w:val="24"/>
        </w:rPr>
        <w:t xml:space="preserve">The Strategic Dental Marketing Agency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D4AC0D"/>
          <w:sz w:val="28"/>
          <w:szCs w:val="28"/>
        </w:rPr>
        <w:t xml:space="preserve">Threat Level: MEDIUM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February 2026 | Ekwa Marketing | Confidential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goldenproportions.com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2002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Est. Clients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500-800 estimated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 (nationwide)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Established dental practices seeking comprehensive strategic marketing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Threat to Ekwa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 w:before="24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Core Value Proposition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Promise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Deliver data-driven, holistic dental marketing that identifies the practice's true differentiator and builds all marketing around it — the 'DNA Dental Marketing' approach.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Evidence / Proof Points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20+ years in dental-only marketing; dental industry association partnerships (AADOM, ADMC); transparent pricing structure; 0% financing option; published case studies.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Mechanism (How It Works)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Proprietary DNA Dental Marketing framework: strategic analysis of practice identity → data-driven marketing plan → execution across website, SEO, PPC, social, branding → continuous optimization based on practice goals.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Uniqueness Claim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Transparent pricing model (rare in dental marketing); 0% interest-free financing on programs; holistic strategic planning before execution; 20+ year dental-only expertise.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Estimated Cost Structure &amp; Margins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Pricing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Transparent pricing: SEO approximately $1,000–$2,500/month; websites $5,000–$15,000+. Custom strategic programs quoted within 48 hours. 0% interest-free financing available on most programs.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Revenue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Monthly retainer + project-based website/branding fees.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Gross Margin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45–60%. Traditional agency model with established processes but limited technology automation.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Funding / Business Status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Privately owned, bootstrapped. Established business with stable revenue base.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Margin Driver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20+ year process refinement; established dental market expertise reduces learning curve and resource waste.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Go-to-Market Strategy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Overall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Educational content and webinars (e.g., 'Your Perfect Patient Match') targeted at dentists making marketing decisions. Industry publication presence (Dentistry Today). Association partnerships create credibility and referrals.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Sales Motion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Inbound-led from content and referrals. Consultative sales with 48-hour custom quote turnaround. Financing option reduces sales friction.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Channels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Dental associations (AADOM, ADMC), dental publications, webinars, direct outreach to established practices, dental consultant partnerships.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Content Themes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Strategic dental marketing planning, patient identification, marketing budgeting, ROI of dental marketing, fee-for-service patient attraction.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Technological / Operational Moats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Technology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Limited technology moat. No proprietary platform.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Operational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20+ year brand equity in dental marketing; professional association relationships; transparent pricing as trust differentiator.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Two decades of dental marketing data, though without a unified platform this data may not be systematically leveraged.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Switching Costs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Long-term client relationships built on trust and strategic partnership; 20-year reputation as known commodity in dental circles.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Key Vulnerabilities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Primary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Aging brand and methodology. 20 years in dental marketing without major product innovation risks becoming a legacy agency.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Secondary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Limited technology innovation. In a market increasingly dominated by AI, automation, and data platforms, a traditional agency model is increasingly vulnerable.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Tertiary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Website design portfolio may appear dated compared to newer agencies. The DNA Dental Marketing framework is a proprietary label on a conventional approach.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Services Gap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Slow adoption of emerging platforms (AI, programmatic, social media video) risks losing younger, growth-oriented practices to more innovative competitors.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Reputation Risk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Long-tenured agencies often attract long-tenured clients who are loyal until they leave — high satisfaction but high churn risk when a key client relationship ends.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6. Ekwa Competitive Position &amp; Battlecard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Target Segment to Poach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Golden Proportions clients who want more technology, more analytics, and more modern digital marketing approaches.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Our Key Message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Ekwa: 16+ years of dental marketing expertise, but built for today's digital landscape.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Sales Battlecard Pitch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Ekwa was founded the same year as Golden Proportions — we've grown together with dental marketing's evolution. While they've maintained a traditional agency approach, we've continuously reinvested in content systems, local SEO technology, and patient acquisition tracking that keeps our clients on page 1 as Google changes.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Modern technical SEO capabilities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Social media content that patients actually engage with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Real-time patient acquisition tracking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Continuous content strategy evolution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Objection Handling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"Golden Proportions has 20+ years of dental expertise"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So do we. And we've been building new capabilities every year. Ask us what we've done in the last 12 months that Golden Proportions hasn't.</w:t>
      </w:r>
    </w:p>
    <w:p>
      <w:pPr>
        <w:spacing w:after="40" w:before="40"/>
      </w:pP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"They have transparent pricing too"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We do too — and our results are verifiable. Let us show you what your current agency's results look like compared to Ekwa clients in similar markets.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Internal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Golden Proportions Marketing Competitor Teardown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2026-02-28T15:44:46.119Z</dcterms:created>
  <dcterms:modified xsi:type="dcterms:W3CDTF">2026-02-28T15:44:46.119Z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