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US04 – Q-scores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ywky7bd75l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allow easier evaluation at the end of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PM/portfolio manager or someone from ASF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add a score to evaluate performance every 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xcbljm0k24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Detailed description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Next to tracking whether or not a monthly conversation has taken place, the PM or portfolio manager (or member of ASF leadership) should have the possibility to add a quarterly score on the overview. By clicking a quarter button, he should have the possibility to select a score (no free text) </w:t>
      </w:r>
      <w:r w:rsidDel="00000000" w:rsidR="00000000" w:rsidRPr="00000000">
        <w:rPr>
          <w:rtl w:val="0"/>
        </w:rPr>
        <w:t xml:space="preserve">ranging from 1 to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z0hdkjb4d8e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Mockups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specific mockup for this story, but the score is also visible on the following mockup from US03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1dmoew05pa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description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es3ysexswj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895"/>
        <w:gridCol w:w="2985"/>
        <w:tblGridChange w:id="0">
          <w:tblGrid>
            <w:gridCol w:w="2955"/>
            <w:gridCol w:w="2895"/>
            <w:gridCol w:w="29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as a PM/portfolio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click on a quarterly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able to set a score (1-5) from a drop-down menu.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selected a score for someone, and the 15 days since the Q ended have not yet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change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will be able to change the score without an issue (the same way as it was set earlier, so selected from a drop-down menu)</w:t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selected a score for someone, and the 15 days since the Q ended have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change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no longer clickable, the score cannot be changed anymore</w:t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given a rating to someone’s quarterly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that person opens the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score should be visible to him/her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