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X97b7ef7e194d151c277d6648a7281c10784b425"/>
    <w:p>
      <w:pPr>
        <w:pStyle w:val="Heading1"/>
      </w:pPr>
      <w:r>
        <w:t xml:space="preserve">Loop Redesign of TIMP3 for Selective Binding of MMP9 Over MMP2</w:t>
      </w:r>
    </w:p>
    <w:p>
      <w:pPr>
        <w:pStyle w:val="FirstParagraph"/>
      </w:pPr>
      <w:r>
        <w:t xml:space="preserve">Ryan Gustafson (1,2), Gavin Gallagher (1), Maryam Raeeszadeh-Sarmazdeh (1)</w:t>
      </w:r>
    </w:p>
    <w:p>
      <w:pPr>
        <w:pStyle w:val="Compact"/>
        <w:numPr>
          <w:ilvl w:val="0"/>
          <w:numId w:val="1001"/>
        </w:numPr>
      </w:pPr>
      <w:r>
        <w:t xml:space="preserve">Chemical and Materials Engineering, University of Nevada, Reno. (2) Integrated Neuroscience Program, University of Nevada, Reno.</w:t>
      </w:r>
    </w:p>
    <w:p>
      <w:pPr>
        <w:pStyle w:val="FirstParagraph"/>
      </w:pPr>
      <w:r>
        <w:t xml:space="preserve">Division: A2 (doctoral students, STEM and public health). Presentation format: poster.</w:t>
      </w:r>
    </w:p>
    <w:bookmarkStart w:id="9" w:name="abstract-about-296-words"/>
    <w:p>
      <w:pPr>
        <w:pStyle w:val="Heading2"/>
      </w:pPr>
      <w:r>
        <w:t xml:space="preserve">Abstract (about 296 words)</w:t>
      </w:r>
    </w:p>
    <w:p>
      <w:pPr>
        <w:pStyle w:val="FirstParagraph"/>
      </w:pPr>
      <w:r>
        <w:t xml:space="preserve">MMP2 and MMP9 are gelatinases with highly similar catalytic domains, and how a binder discriminates between two nearly identical active sites is an open structural question. Tissue inhibitor of metalloproteinases 3 (TIMP3) inhibits both proteases through an N-terminal ridge formed by the AB, C, and connector loops. These loops were redesigned with RFdiffusion, ProteinMPNN, and AlphaFold3 co-folding, and candidates were ranked by a self-normalized score that compares each variant’s predicted interface metrics across targets. Fifteen designed variants were synthesized, displayed on yeast, and screened against MMP2, MMP9, MMP3, and ADAM17 by flow cytometry. Because the three antigen suppliers provide non-equivalent molecules, selectivity was tested only on one supplier’s human catalytic-domain constructs for both targets. On that material, all five variants designed for MMP9 preference (AB 1, AB 2, AB 6, C 12, and C 15) had higher MMP9 than MMP2 signal in every replicate, with 2.2 to 3.1-fold differences in the median APC/FITC ratio (Welch t-test, nominal p = 0.008 to 0.044; n = 2 separate cultures per group; uncorrected). Wild-type TIMP3 showed the same direction on the same day (2.4-fold), so the variants were not separated from the wild-type scaffold. All replicates were measured on one day; replication on separate days is pending. Interface geometry in the AlphaFold3 co-folds did not explain selectivity across the variants; C 12 was the exception in the top-ranked co-fold (26 versus 18 TIMP3-chain residues within 5 Å at MMP9 versus MMP2; mean difference of 4 across five models). A construct-level binding component accounted for 64% of the variance in binding, and AlphaFold3 metrics did not correlate significantly with the remaining target-specific signal (ipTM rho = 0.09; loop pLDDT rho = 0.20; n = 36 construct-target pairs). Predicted interface confidence therefore did not account for measured selectivity in this dataset.</w:t>
      </w:r>
    </w:p>
    <w:bookmarkEnd w:id="9"/>
    <w:bookmarkStart w:id="10" w:name="Xdf300993ecef4501751060e24fc2bf5e57f14e1"/>
    <w:p>
      <w:pPr>
        <w:pStyle w:val="Heading2"/>
      </w:pPr>
      <w:r>
        <w:t xml:space="preserve">Short version (about 150 words), if the form has a lower limit</w:t>
      </w:r>
    </w:p>
    <w:p>
      <w:pPr>
        <w:pStyle w:val="FirstParagraph"/>
      </w:pPr>
      <w:r>
        <w:t xml:space="preserve">MMP2 and MMP9 are gelatinases with nearly identical catalytic domains. The loops that tissue inhibitor of metalloproteinases 3 (TIMP3) uses to enter the active site were redesigned with RFdiffusion, ProteinMPNN, and AlphaFold3, and 15 variants were screened by yeast surface display against four proteases. On antigen from the one supplier whose MMP2 and MMP9 constructs are matched, all five variants designed for MMP9 preference had higher MMP9 than MMP2 signal in every replicate (2.2 to 3.1-fold; nominal Welch p = 0.008 to 0.044; n = 2 per group, measured on one day, uncorrected for multiple comparisons). Wild-type TIMP3 showed the same direction (2.4-fold), so the variants are not separated from the scaffold. Interface geometry did not explain selectivity except for C 12 in the top-ranked co-fold, and AlphaFold3 metrics did not correlate with target-specific binding (ipTM rho = 0.09; n = 36). Replication on separate days is pending.</w:t>
      </w:r>
    </w:p>
    <w:bookmarkEnd w:id="10"/>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2026-09-23T20:44:45Z</dcterms:created>
  <dcterms:modified xsi:type="dcterms:W3CDTF">2026-09-23T20:44:45Z</dcterms:modified>
</cp:coreProperties>
</file>

<file path=docProps/custom.xml><?xml version="1.0" encoding="utf-8"?>
<Properties xmlns="http://schemas.openxmlformats.org/officeDocument/2006/custom-properties" xmlns:vt="http://schemas.openxmlformats.org/officeDocument/2006/docPropsVTypes"/>
</file>