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11 – Multiempresa y Configuración</w:t>
      </w:r>
    </w:p>
    <w:p>
      <w:pPr>
        <w:pStyle w:val="Heading2"/>
      </w:pPr>
      <w:r>
        <w:t>Objetivo</w:t>
      </w:r>
    </w:p>
    <w:p>
      <w:r>
        <w:rPr>
          <w:sz w:val="22"/>
        </w:rPr>
        <w:t>Definir cómo el SIGCM soportará múltiples organizaciones sin modificar el código base.</w:t>
      </w:r>
    </w:p>
    <w:p>
      <w:pPr>
        <w:pStyle w:val="Heading2"/>
      </w:pPr>
      <w:r>
        <w:t>Organización</w:t>
      </w:r>
    </w:p>
    <w:p>
      <w:r>
        <w:rPr>
          <w:sz w:val="22"/>
        </w:rPr>
        <w:t>Cada cliente representa una organización independiente con su identidad, usuarios, sedes, profesionales y configuración.</w:t>
      </w:r>
    </w:p>
    <w:p>
      <w:pPr>
        <w:pStyle w:val="Heading2"/>
      </w:pPr>
      <w:r>
        <w:t>Configuración editable</w:t>
      </w:r>
    </w:p>
    <w:p>
      <w:pPr>
        <w:pStyle w:val="ListBullet"/>
      </w:pPr>
      <w:r>
        <w:t>- Nombre comercial</w:t>
      </w:r>
    </w:p>
    <w:p>
      <w:pPr>
        <w:pStyle w:val="ListBullet"/>
      </w:pPr>
      <w:r>
        <w:t>- Logo</w:t>
      </w:r>
    </w:p>
    <w:p>
      <w:pPr>
        <w:pStyle w:val="ListBullet"/>
      </w:pPr>
      <w:r>
        <w:t>- Colores</w:t>
      </w:r>
    </w:p>
    <w:p>
      <w:pPr>
        <w:pStyle w:val="ListBullet"/>
      </w:pPr>
      <w:r>
        <w:t>- Dominio</w:t>
      </w:r>
    </w:p>
    <w:p>
      <w:pPr>
        <w:pStyle w:val="ListBullet"/>
      </w:pPr>
      <w:r>
        <w:t>- Correos institucionales</w:t>
      </w:r>
    </w:p>
    <w:p>
      <w:pPr>
        <w:pStyle w:val="ListBullet"/>
      </w:pPr>
      <w:r>
        <w:t>- Plantillas</w:t>
      </w:r>
    </w:p>
    <w:p>
      <w:pPr>
        <w:pStyle w:val="ListBullet"/>
      </w:pPr>
      <w:r>
        <w:t>- QR</w:t>
      </w:r>
    </w:p>
    <w:p>
      <w:pPr>
        <w:pStyle w:val="ListBullet"/>
      </w:pPr>
      <w:r>
        <w:t>- Obras sociales</w:t>
      </w:r>
    </w:p>
    <w:p>
      <w:pPr>
        <w:pStyle w:val="ListBullet"/>
      </w:pPr>
      <w:r>
        <w:t>- Prácticas</w:t>
      </w:r>
    </w:p>
    <w:p>
      <w:pPr>
        <w:pStyle w:val="ListBullet"/>
      </w:pPr>
      <w:r>
        <w:t>- Consultorios</w:t>
      </w:r>
    </w:p>
    <w:p>
      <w:pPr>
        <w:pStyle w:val="ListBullet"/>
      </w:pPr>
      <w:r>
        <w:t>- Repositorios documentales</w:t>
      </w:r>
    </w:p>
    <w:p>
      <w:pPr>
        <w:pStyle w:val="ListBullet"/>
      </w:pPr>
      <w:r>
        <w:t>- Notificaciones</w:t>
      </w:r>
    </w:p>
    <w:p>
      <w:pPr>
        <w:pStyle w:val="Heading2"/>
      </w:pPr>
      <w:r>
        <w:t>Profesionales</w:t>
      </w:r>
    </w:p>
    <w:p>
      <w:r>
        <w:rPr>
          <w:sz w:val="22"/>
        </w:rPr>
        <w:t>Cada médico configura:</w:t>
      </w:r>
    </w:p>
    <w:p>
      <w:pPr>
        <w:pStyle w:val="ListBullet"/>
      </w:pPr>
      <w:r>
        <w:t>- horarios;</w:t>
      </w:r>
    </w:p>
    <w:p>
      <w:pPr>
        <w:pStyle w:val="ListBullet"/>
      </w:pPr>
      <w:r>
        <w:t>- especialidades;</w:t>
      </w:r>
    </w:p>
    <w:p>
      <w:pPr>
        <w:pStyle w:val="ListBullet"/>
      </w:pPr>
      <w:r>
        <w:t>- prácticas;</w:t>
      </w:r>
    </w:p>
    <w:p>
      <w:pPr>
        <w:pStyle w:val="ListBullet"/>
      </w:pPr>
      <w:r>
        <w:t>- correo personal;</w:t>
      </w:r>
    </w:p>
    <w:p>
      <w:pPr>
        <w:pStyle w:val="ListBullet"/>
      </w:pPr>
      <w:r>
        <w:t>- correo laboral;</w:t>
      </w:r>
    </w:p>
    <w:p>
      <w:pPr>
        <w:pStyle w:val="ListBullet"/>
      </w:pPr>
      <w:r>
        <w:t>- firma;</w:t>
      </w:r>
    </w:p>
    <w:p>
      <w:pPr>
        <w:pStyle w:val="ListBullet"/>
      </w:pPr>
      <w:r>
        <w:t>- repositorios;</w:t>
      </w:r>
    </w:p>
    <w:p>
      <w:pPr>
        <w:pStyle w:val="ListBullet"/>
      </w:pPr>
      <w:r>
        <w:t>- preferencias de avisos.</w:t>
      </w:r>
    </w:p>
    <w:p>
      <w:pPr>
        <w:pStyle w:val="Heading2"/>
      </w:pPr>
      <w:r>
        <w:t>Secretarias</w:t>
      </w:r>
    </w:p>
    <w:p>
      <w:r>
        <w:rPr>
          <w:sz w:val="22"/>
        </w:rPr>
        <w:t>Por defecto administran todos los médicos de la sede. Opcionalmente pueden restringirse a profesionales específicos.</w:t>
      </w:r>
    </w:p>
    <w:p>
      <w:pPr>
        <w:pStyle w:val="Heading2"/>
      </w:pPr>
      <w:r>
        <w:t>Escalabilidad</w:t>
      </w:r>
    </w:p>
    <w:p>
      <w:r>
        <w:rPr>
          <w:sz w:val="22"/>
        </w:rPr>
        <w:t>Toda configuración debe almacenarse en base de datos, evitando personalizaciones de código para cada cliente.</w:t>
      </w:r>
    </w:p>
    <w:p>
      <w:pPr>
        <w:pStyle w:val="Heading2"/>
      </w:pPr>
      <w:r>
        <w:t>Marca blanca</w:t>
      </w:r>
    </w:p>
    <w:p>
      <w:r>
        <w:rPr>
          <w:sz w:val="22"/>
        </w:rPr>
        <w:t>Preparar el sistema para venderse con identidad visual propia de cada organización.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